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Default="00781C99" w:rsidP="00781C99">
      <w:pPr>
        <w:jc w:val="center"/>
        <w:rPr>
          <w:rFonts w:ascii="Devanagari Sangam MN" w:eastAsia="Arial Unicode MS" w:hAnsi="Devanagari Sangam MN" w:cs="Apple Symbols"/>
          <w:sz w:val="28"/>
          <w:szCs w:val="28"/>
        </w:rPr>
      </w:pPr>
      <w:r>
        <w:rPr>
          <w:rFonts w:ascii="Rockwell" w:eastAsia="Times New Roman" w:hAnsi="Rockwell" w:cs="Arial"/>
          <w:color w:val="4F81BD" w:themeColor="accent1"/>
          <w:sz w:val="56"/>
          <w:szCs w:val="56"/>
        </w:rPr>
        <w:t>Psych Services and Public Speaking</w:t>
      </w:r>
    </w:p>
    <w:p w:rsidR="00894169" w:rsidRPr="00EA588F" w:rsidRDefault="00894169" w:rsidP="00894169">
      <w:pPr>
        <w:rPr>
          <w:rFonts w:ascii="Bree Serif Regular" w:eastAsia="Times New Roman" w:hAnsi="Bree Serif Regular" w:cs="Times New Roman"/>
          <w:sz w:val="28"/>
          <w:szCs w:val="28"/>
        </w:rPr>
      </w:pPr>
    </w:p>
    <w:p w:rsidR="000C7557" w:rsidRPr="00781C99" w:rsidRDefault="00F01299" w:rsidP="00DA6FB0">
      <w:pPr>
        <w:rPr>
          <w:rFonts w:ascii="Rockwell" w:eastAsia="Times New Roman" w:hAnsi="Rockwell" w:cs="Times New Roman"/>
          <w:sz w:val="32"/>
          <w:szCs w:val="32"/>
        </w:rPr>
      </w:pPr>
      <w:r w:rsidRPr="00781C99">
        <w:rPr>
          <w:rFonts w:ascii="Rockwell" w:eastAsia="Times New Roman" w:hAnsi="Rockwell" w:cs="Times New Roman"/>
          <w:sz w:val="32"/>
          <w:szCs w:val="32"/>
        </w:rPr>
        <w:t xml:space="preserve">Public </w:t>
      </w:r>
      <w:r w:rsidR="00781C99">
        <w:rPr>
          <w:rFonts w:ascii="Rockwell" w:eastAsia="Times New Roman" w:hAnsi="Rockwell" w:cs="Times New Roman"/>
          <w:sz w:val="32"/>
          <w:szCs w:val="32"/>
        </w:rPr>
        <w:t>Speaking anxiety is the number one</w:t>
      </w:r>
      <w:r w:rsidRPr="00781C99">
        <w:rPr>
          <w:rFonts w:ascii="Rockwell" w:eastAsia="Times New Roman" w:hAnsi="Rockwell" w:cs="Times New Roman"/>
          <w:sz w:val="32"/>
          <w:szCs w:val="32"/>
        </w:rPr>
        <w:t xml:space="preserve"> fear among adults</w:t>
      </w:r>
      <w:r w:rsidR="00E26A3F" w:rsidRPr="00781C99">
        <w:rPr>
          <w:rFonts w:ascii="Rockwell" w:eastAsia="Times New Roman" w:hAnsi="Rockwell" w:cs="Times New Roman"/>
          <w:sz w:val="32"/>
          <w:szCs w:val="32"/>
        </w:rPr>
        <w:t>. Almost everyone experiences some anxiety when speaking. This is completely normal and can even be helpful, to a degree. But too much anxiety can interfere with education, career choices, and even leisure activities if the response to anxiety symptoms is “avoidance.”</w:t>
      </w:r>
      <w:r w:rsidR="00DA6FB0" w:rsidRPr="00781C99">
        <w:rPr>
          <w:rFonts w:ascii="Rockwell" w:eastAsia="Times New Roman" w:hAnsi="Rockwell" w:cs="Times New Roman"/>
          <w:sz w:val="32"/>
          <w:szCs w:val="32"/>
        </w:rPr>
        <w:t xml:space="preserve"> Here are some facts about Public Speaking anxiety for those who wish to improve their fear or receive help. </w:t>
      </w:r>
    </w:p>
    <w:p w:rsidR="00E26A3F" w:rsidRPr="00781C99" w:rsidRDefault="00E26A3F" w:rsidP="00E26A3F">
      <w:pPr>
        <w:pStyle w:val="ListParagraph"/>
        <w:rPr>
          <w:rFonts w:ascii="Rockwell" w:eastAsia="Times New Roman" w:hAnsi="Rockwell" w:cs="Times New Roman"/>
          <w:sz w:val="32"/>
          <w:szCs w:val="32"/>
        </w:rPr>
      </w:pPr>
    </w:p>
    <w:p w:rsidR="00E26A3F" w:rsidRPr="00781C99" w:rsidRDefault="00E26A3F" w:rsidP="00E26A3F">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 xml:space="preserve">Anxiety symptoms occur when a person perceives a threat or a danger; it is the body’s signal to do something. Mobilizing </w:t>
      </w:r>
      <w:proofErr w:type="gramStart"/>
      <w:r w:rsidRPr="00781C99">
        <w:rPr>
          <w:rFonts w:ascii="Rockwell" w:eastAsia="Times New Roman" w:hAnsi="Rockwell" w:cs="Times New Roman"/>
          <w:sz w:val="32"/>
          <w:szCs w:val="32"/>
        </w:rPr>
        <w:t>oneself</w:t>
      </w:r>
      <w:proofErr w:type="gramEnd"/>
      <w:r w:rsidRPr="00781C99">
        <w:rPr>
          <w:rFonts w:ascii="Rockwell" w:eastAsia="Times New Roman" w:hAnsi="Rockwell" w:cs="Times New Roman"/>
          <w:sz w:val="32"/>
          <w:szCs w:val="32"/>
        </w:rPr>
        <w:t xml:space="preserve"> in the face of danger helps us survive, but if we have too many “false alarms” or if anxiety symptoms become too intense, we experience extreme discomfort and we may be less able to perform.</w:t>
      </w:r>
    </w:p>
    <w:p w:rsidR="00E26A3F" w:rsidRPr="00781C99" w:rsidRDefault="00E26A3F" w:rsidP="00E26A3F">
      <w:pPr>
        <w:pStyle w:val="ListParagraph"/>
        <w:rPr>
          <w:rFonts w:ascii="Rockwell" w:eastAsia="Times New Roman" w:hAnsi="Rockwell" w:cs="Times New Roman"/>
          <w:sz w:val="32"/>
          <w:szCs w:val="32"/>
        </w:rPr>
      </w:pPr>
    </w:p>
    <w:p w:rsidR="00E26A3F" w:rsidRPr="00781C99" w:rsidRDefault="00E26A3F" w:rsidP="00E26A3F">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Typi</w:t>
      </w:r>
      <w:r w:rsidR="00781C99">
        <w:rPr>
          <w:rFonts w:ascii="Rockwell" w:eastAsia="Times New Roman" w:hAnsi="Rockwell" w:cs="Times New Roman"/>
          <w:sz w:val="32"/>
          <w:szCs w:val="32"/>
        </w:rPr>
        <w:t>cal physical symptoms include: r</w:t>
      </w:r>
      <w:r w:rsidRPr="00781C99">
        <w:rPr>
          <w:rFonts w:ascii="Rockwell" w:eastAsia="Times New Roman" w:hAnsi="Rockwell" w:cs="Times New Roman"/>
          <w:sz w:val="32"/>
          <w:szCs w:val="32"/>
        </w:rPr>
        <w:t>acing heart, rapid breathing, trembling, shaky voice, dizziness, feeling faint, nausea, and muscle tension</w:t>
      </w:r>
      <w:r w:rsidR="00781C99">
        <w:rPr>
          <w:rFonts w:ascii="Rockwell" w:eastAsia="Times New Roman" w:hAnsi="Rockwell" w:cs="Times New Roman"/>
          <w:sz w:val="32"/>
          <w:szCs w:val="32"/>
        </w:rPr>
        <w:t>.</w:t>
      </w:r>
    </w:p>
    <w:p w:rsidR="00E26A3F" w:rsidRPr="00781C99" w:rsidRDefault="00E26A3F" w:rsidP="00E26A3F">
      <w:pPr>
        <w:pStyle w:val="ListParagraph"/>
        <w:rPr>
          <w:rFonts w:ascii="Rockwell" w:eastAsia="Times New Roman" w:hAnsi="Rockwell" w:cs="Times New Roman"/>
          <w:sz w:val="32"/>
          <w:szCs w:val="32"/>
        </w:rPr>
      </w:pPr>
    </w:p>
    <w:p w:rsidR="00E26A3F" w:rsidRPr="00781C99" w:rsidRDefault="00E26A3F" w:rsidP="00E26A3F">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 xml:space="preserve">Anxiety also happens in your head. Negative predictions about one’s performance, negative assessment of one’s skills, </w:t>
      </w:r>
      <w:r w:rsidR="00A971ED" w:rsidRPr="00781C99">
        <w:rPr>
          <w:rFonts w:ascii="Rockwell" w:eastAsia="Times New Roman" w:hAnsi="Rockwell" w:cs="Times New Roman"/>
          <w:sz w:val="32"/>
          <w:szCs w:val="32"/>
        </w:rPr>
        <w:t xml:space="preserve">or </w:t>
      </w:r>
      <w:r w:rsidRPr="00781C99">
        <w:rPr>
          <w:rFonts w:ascii="Rockwell" w:eastAsia="Times New Roman" w:hAnsi="Rockwell" w:cs="Times New Roman"/>
          <w:sz w:val="32"/>
          <w:szCs w:val="32"/>
        </w:rPr>
        <w:t xml:space="preserve">predicting disastrous consequences of a </w:t>
      </w:r>
      <w:r w:rsidR="00A971ED" w:rsidRPr="00781C99">
        <w:rPr>
          <w:rFonts w:ascii="Rockwell" w:eastAsia="Times New Roman" w:hAnsi="Rockwell" w:cs="Times New Roman"/>
          <w:sz w:val="32"/>
          <w:szCs w:val="32"/>
        </w:rPr>
        <w:t xml:space="preserve">less-than-perfect presentation can </w:t>
      </w:r>
      <w:r w:rsidRPr="00781C99">
        <w:rPr>
          <w:rFonts w:ascii="Rockwell" w:eastAsia="Times New Roman" w:hAnsi="Rockwell" w:cs="Times New Roman"/>
          <w:sz w:val="32"/>
          <w:szCs w:val="32"/>
        </w:rPr>
        <w:t>occur</w:t>
      </w:r>
      <w:r w:rsidR="00A971ED" w:rsidRPr="00781C99">
        <w:rPr>
          <w:rFonts w:ascii="Rockwell" w:eastAsia="Times New Roman" w:hAnsi="Rockwell" w:cs="Times New Roman"/>
          <w:sz w:val="32"/>
          <w:szCs w:val="32"/>
        </w:rPr>
        <w:t xml:space="preserve"> in the form of thoughts and images. Many times these cognitions are distorted, unlikely, exaggerated, or all of the above.</w:t>
      </w:r>
    </w:p>
    <w:p w:rsidR="00A971ED" w:rsidRPr="00781C99" w:rsidRDefault="00A971ED" w:rsidP="00A971ED">
      <w:pPr>
        <w:pStyle w:val="ListParagraph"/>
        <w:rPr>
          <w:rFonts w:ascii="Rockwell" w:eastAsia="Times New Roman" w:hAnsi="Rockwell" w:cs="Times New Roman"/>
          <w:sz w:val="32"/>
          <w:szCs w:val="32"/>
        </w:rPr>
      </w:pPr>
    </w:p>
    <w:p w:rsidR="00A971ED" w:rsidRPr="00781C99" w:rsidRDefault="00A971ED" w:rsidP="00E26A3F">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 xml:space="preserve">Public speaking anxiety is evoked by many different situations: class presentations, class discussions, speaking at meetings, talking </w:t>
      </w:r>
      <w:r w:rsidRPr="00781C99">
        <w:rPr>
          <w:rFonts w:ascii="Rockwell" w:eastAsia="Times New Roman" w:hAnsi="Rockwell" w:cs="Times New Roman"/>
          <w:sz w:val="32"/>
          <w:szCs w:val="32"/>
        </w:rPr>
        <w:lastRenderedPageBreak/>
        <w:t>in a group, asking questions in class, speaking with authority figures, etc.</w:t>
      </w:r>
    </w:p>
    <w:p w:rsidR="00A971ED" w:rsidRPr="00781C99" w:rsidRDefault="00A971ED" w:rsidP="00A971ED">
      <w:pPr>
        <w:pStyle w:val="ListParagraph"/>
        <w:rPr>
          <w:rFonts w:ascii="Rockwell" w:eastAsia="Times New Roman" w:hAnsi="Rockwell" w:cs="Times New Roman"/>
          <w:sz w:val="32"/>
          <w:szCs w:val="32"/>
        </w:rPr>
      </w:pPr>
    </w:p>
    <w:p w:rsidR="00A971ED" w:rsidRPr="00781C99" w:rsidRDefault="00A971ED" w:rsidP="00E26A3F">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Identify situational triggers and thinking patterns that contribute to the anxiety sp</w:t>
      </w:r>
      <w:r w:rsidR="001C41B5" w:rsidRPr="00781C99">
        <w:rPr>
          <w:rFonts w:ascii="Rockwell" w:eastAsia="Times New Roman" w:hAnsi="Rockwell" w:cs="Times New Roman"/>
          <w:sz w:val="32"/>
          <w:szCs w:val="32"/>
        </w:rPr>
        <w:t>iral. This includes the nature/degree of all types of “consequences,” situational risk, and self-perceptions</w:t>
      </w:r>
      <w:r w:rsidR="00781C99">
        <w:rPr>
          <w:rFonts w:ascii="Rockwell" w:eastAsia="Times New Roman" w:hAnsi="Rockwell" w:cs="Times New Roman"/>
          <w:sz w:val="32"/>
          <w:szCs w:val="32"/>
        </w:rPr>
        <w:t>.</w:t>
      </w:r>
    </w:p>
    <w:p w:rsidR="001C41B5" w:rsidRPr="00781C99" w:rsidRDefault="001C41B5" w:rsidP="001C41B5">
      <w:pPr>
        <w:pStyle w:val="ListParagraph"/>
        <w:rPr>
          <w:rFonts w:ascii="Rockwell" w:eastAsia="Times New Roman" w:hAnsi="Rockwell" w:cs="Times New Roman"/>
          <w:sz w:val="32"/>
          <w:szCs w:val="32"/>
        </w:rPr>
      </w:pPr>
    </w:p>
    <w:p w:rsidR="001C41B5" w:rsidRPr="00781C99" w:rsidRDefault="001C41B5" w:rsidP="00E26A3F">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Relaxation training is an important behavioral component of therapy. Focus on relaxation process also diverts attention from anxiety symptoms.</w:t>
      </w:r>
    </w:p>
    <w:p w:rsidR="001C41B5" w:rsidRPr="00781C99" w:rsidRDefault="001C41B5" w:rsidP="00781C99">
      <w:pPr>
        <w:rPr>
          <w:rFonts w:ascii="Rockwell" w:eastAsia="Times New Roman" w:hAnsi="Rockwell" w:cs="Times New Roman"/>
          <w:sz w:val="32"/>
          <w:szCs w:val="32"/>
        </w:rPr>
      </w:pPr>
    </w:p>
    <w:p w:rsidR="00A971ED" w:rsidRPr="00781C99" w:rsidRDefault="001C41B5" w:rsidP="001C41B5">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Exposure to the feared situation is critical and can be planned in several ways. Avoidance reinforces itself and only leads to more avoidance. Practicing real-life situations with others, such as asking questions or giv</w:t>
      </w:r>
      <w:r w:rsidR="00781C99">
        <w:rPr>
          <w:rFonts w:ascii="Rockwell" w:eastAsia="Times New Roman" w:hAnsi="Rockwell" w:cs="Times New Roman"/>
          <w:sz w:val="32"/>
          <w:szCs w:val="32"/>
        </w:rPr>
        <w:t>ing mock presentations can help</w:t>
      </w:r>
      <w:r w:rsidRPr="00781C99">
        <w:rPr>
          <w:rFonts w:ascii="Rockwell" w:eastAsia="Times New Roman" w:hAnsi="Rockwell" w:cs="Times New Roman"/>
          <w:sz w:val="32"/>
          <w:szCs w:val="32"/>
        </w:rPr>
        <w:t>.</w:t>
      </w:r>
    </w:p>
    <w:p w:rsidR="001C41B5" w:rsidRPr="00781C99" w:rsidRDefault="001C41B5" w:rsidP="00A971ED">
      <w:pPr>
        <w:pStyle w:val="ListParagraph"/>
        <w:rPr>
          <w:rFonts w:ascii="Rockwell" w:eastAsia="Times New Roman" w:hAnsi="Rockwell" w:cs="Times New Roman"/>
          <w:sz w:val="32"/>
          <w:szCs w:val="32"/>
        </w:rPr>
      </w:pPr>
    </w:p>
    <w:p w:rsidR="00A971ED" w:rsidRPr="00781C99" w:rsidRDefault="00A971ED" w:rsidP="001C41B5">
      <w:pPr>
        <w:pStyle w:val="ListParagraph"/>
        <w:numPr>
          <w:ilvl w:val="0"/>
          <w:numId w:val="2"/>
        </w:numPr>
        <w:rPr>
          <w:rFonts w:ascii="Rockwell" w:eastAsia="Times New Roman" w:hAnsi="Rockwell" w:cs="Times New Roman"/>
          <w:sz w:val="32"/>
          <w:szCs w:val="32"/>
        </w:rPr>
      </w:pPr>
      <w:r w:rsidRPr="00781C99">
        <w:rPr>
          <w:rFonts w:ascii="Rockwell" w:eastAsia="Times New Roman" w:hAnsi="Rockwell" w:cs="Times New Roman"/>
          <w:sz w:val="32"/>
          <w:szCs w:val="32"/>
        </w:rPr>
        <w:t>An in-depth individual assessment of anxiety triggers and the severity of the anxiety response is the key to successful intervention. Therapy (cognitive-behavioral therapy) addresses both physical side-effects and unhelpful thinking patterns.</w:t>
      </w:r>
    </w:p>
    <w:p w:rsidR="001C41B5" w:rsidRPr="00781C99" w:rsidRDefault="001C41B5" w:rsidP="001C41B5">
      <w:pPr>
        <w:pStyle w:val="ListParagraph"/>
        <w:rPr>
          <w:rFonts w:ascii="Rockwell" w:eastAsia="Times New Roman" w:hAnsi="Rockwell" w:cs="Times New Roman"/>
          <w:sz w:val="32"/>
          <w:szCs w:val="32"/>
        </w:rPr>
      </w:pPr>
    </w:p>
    <w:p w:rsidR="001C41B5" w:rsidRPr="00781C99" w:rsidRDefault="001C41B5" w:rsidP="001C41B5">
      <w:pPr>
        <w:pStyle w:val="ListParagraph"/>
        <w:rPr>
          <w:rFonts w:ascii="Rockwell" w:eastAsia="Times New Roman" w:hAnsi="Rockwell" w:cs="Times New Roman"/>
          <w:sz w:val="32"/>
          <w:szCs w:val="32"/>
        </w:rPr>
      </w:pPr>
    </w:p>
    <w:p w:rsidR="000C7557" w:rsidRPr="00781C99" w:rsidRDefault="000C7557" w:rsidP="000C7557">
      <w:pPr>
        <w:rPr>
          <w:rFonts w:ascii="Bree Serif Regular" w:eastAsia="Times New Roman" w:hAnsi="Bree Serif Regular" w:cs="Times New Roman"/>
          <w:sz w:val="32"/>
          <w:szCs w:val="32"/>
        </w:rPr>
      </w:pPr>
    </w:p>
    <w:p w:rsidR="00D51910" w:rsidRPr="00781C99" w:rsidRDefault="001C41B5" w:rsidP="00DA6FB0">
      <w:pPr>
        <w:ind w:left="360"/>
        <w:rPr>
          <w:rFonts w:ascii="Rockwell" w:eastAsia="Arial Unicode MS" w:hAnsi="Rockwell" w:cs="Apple Symbols"/>
          <w:color w:val="000000"/>
          <w:sz w:val="32"/>
          <w:szCs w:val="32"/>
        </w:rPr>
      </w:pPr>
      <w:r w:rsidRPr="00781C99">
        <w:rPr>
          <w:rFonts w:ascii="Rockwell" w:hAnsi="Rockwell" w:cs="Arial"/>
          <w:color w:val="4F81BD" w:themeColor="accent1"/>
          <w:sz w:val="32"/>
          <w:szCs w:val="32"/>
          <w:shd w:val="clear" w:color="auto" w:fill="FFFFFF"/>
        </w:rPr>
        <w:t xml:space="preserve">The Talley Center for Counseling Services </w:t>
      </w:r>
      <w:r w:rsidRPr="00781C99">
        <w:rPr>
          <w:rFonts w:ascii="Rockwell" w:hAnsi="Rockwell" w:cs="Arial"/>
          <w:color w:val="25150C"/>
          <w:sz w:val="32"/>
          <w:szCs w:val="32"/>
          <w:shd w:val="clear" w:color="auto" w:fill="FFFFFF"/>
        </w:rPr>
        <w:t xml:space="preserve">is located on the first floor of </w:t>
      </w:r>
      <w:r w:rsidRPr="00781C99">
        <w:rPr>
          <w:rFonts w:ascii="Rockwell" w:hAnsi="Rockwell" w:cs="Arial"/>
          <w:b/>
          <w:color w:val="25150C"/>
          <w:sz w:val="32"/>
          <w:szCs w:val="32"/>
          <w:shd w:val="clear" w:color="auto" w:fill="FFFFFF"/>
        </w:rPr>
        <w:t>Lee Hall in Room 106</w:t>
      </w:r>
      <w:r w:rsidRPr="00781C99">
        <w:rPr>
          <w:rFonts w:ascii="Rockwell" w:hAnsi="Rockwell" w:cs="Arial"/>
          <w:color w:val="25150C"/>
          <w:sz w:val="32"/>
          <w:szCs w:val="32"/>
          <w:shd w:val="clear" w:color="auto" w:fill="FFFFFF"/>
        </w:rPr>
        <w:t>. Our office hours are</w:t>
      </w:r>
      <w:r w:rsidRPr="00781C99">
        <w:rPr>
          <w:rStyle w:val="apple-converted-space"/>
          <w:rFonts w:ascii="Rockwell" w:hAnsi="Rockwell" w:cs="Arial"/>
          <w:color w:val="25150C"/>
          <w:sz w:val="32"/>
          <w:szCs w:val="32"/>
          <w:shd w:val="clear" w:color="auto" w:fill="FFFFFF"/>
        </w:rPr>
        <w:t> </w:t>
      </w:r>
      <w:r w:rsidRPr="00781C99">
        <w:rPr>
          <w:rStyle w:val="Strong"/>
          <w:rFonts w:ascii="Rockwell" w:hAnsi="Rockwell" w:cs="Arial"/>
          <w:color w:val="25150C"/>
          <w:sz w:val="32"/>
          <w:szCs w:val="32"/>
          <w:shd w:val="clear" w:color="auto" w:fill="FFFFFF"/>
        </w:rPr>
        <w:t>8 AM to 5 PM</w:t>
      </w:r>
      <w:r w:rsidRPr="00781C99">
        <w:rPr>
          <w:rFonts w:ascii="Rockwell" w:hAnsi="Rockwell" w:cs="Arial"/>
          <w:color w:val="25150C"/>
          <w:sz w:val="32"/>
          <w:szCs w:val="32"/>
          <w:shd w:val="clear" w:color="auto" w:fill="FFFFFF"/>
        </w:rPr>
        <w:t>, Monday through Friday. Students wishing to make an appointment may do so by calling us at</w:t>
      </w:r>
      <w:r w:rsidRPr="00781C99">
        <w:rPr>
          <w:rStyle w:val="apple-converted-space"/>
          <w:rFonts w:ascii="Rockwell" w:hAnsi="Rockwell" w:cs="Arial"/>
          <w:color w:val="25150C"/>
          <w:sz w:val="32"/>
          <w:szCs w:val="32"/>
          <w:shd w:val="clear" w:color="auto" w:fill="FFFFFF"/>
        </w:rPr>
        <w:t> </w:t>
      </w:r>
      <w:r w:rsidR="00781C99">
        <w:rPr>
          <w:rStyle w:val="Strong"/>
          <w:rFonts w:ascii="Rockwell" w:hAnsi="Rockwell" w:cs="Arial"/>
          <w:color w:val="25150C"/>
          <w:sz w:val="32"/>
          <w:szCs w:val="32"/>
          <w:shd w:val="clear" w:color="auto" w:fill="FFFFFF"/>
        </w:rPr>
        <w:t>540-654-</w:t>
      </w:r>
      <w:r w:rsidRPr="00781C99">
        <w:rPr>
          <w:rStyle w:val="Strong"/>
          <w:rFonts w:ascii="Rockwell" w:hAnsi="Rockwell" w:cs="Arial"/>
          <w:color w:val="25150C"/>
          <w:sz w:val="32"/>
          <w:szCs w:val="32"/>
          <w:shd w:val="clear" w:color="auto" w:fill="FFFFFF"/>
        </w:rPr>
        <w:t>1053</w:t>
      </w:r>
      <w:r w:rsidRPr="00781C99">
        <w:rPr>
          <w:rStyle w:val="apple-converted-space"/>
          <w:rFonts w:ascii="Rockwell" w:hAnsi="Rockwell" w:cs="Arial"/>
          <w:color w:val="25150C"/>
          <w:sz w:val="32"/>
          <w:szCs w:val="32"/>
          <w:shd w:val="clear" w:color="auto" w:fill="FFFFFF"/>
        </w:rPr>
        <w:t> </w:t>
      </w:r>
      <w:r w:rsidRPr="00781C99">
        <w:rPr>
          <w:rFonts w:ascii="Rockwell" w:hAnsi="Rockwell" w:cs="Arial"/>
          <w:color w:val="25150C"/>
          <w:sz w:val="32"/>
          <w:szCs w:val="32"/>
          <w:shd w:val="clear" w:color="auto" w:fill="FFFFFF"/>
        </w:rPr>
        <w:t>or by stopping by Lee 106 during regular business hours and speaking directly with our administrative assistant. Calls made to the counseling center outside normal business hours will be forwarded to our voice mail. Please feel free to leave a confidential message, including your name and contact number and our administrative assistant will return your call on the next business day</w:t>
      </w:r>
      <w:r w:rsidR="00781C99">
        <w:rPr>
          <w:rFonts w:ascii="Rockwell" w:hAnsi="Rockwell" w:cs="Arial"/>
          <w:color w:val="25150C"/>
          <w:sz w:val="32"/>
          <w:szCs w:val="32"/>
          <w:shd w:val="clear" w:color="auto" w:fill="FFFFFF"/>
        </w:rPr>
        <w:t>.</w:t>
      </w:r>
    </w:p>
    <w:p w:rsidR="00D51910" w:rsidRPr="00781C99" w:rsidRDefault="00D51910" w:rsidP="00D51910">
      <w:pPr>
        <w:rPr>
          <w:rFonts w:ascii="Devanagari Sangam MN" w:eastAsia="Arial Unicode MS" w:hAnsi="Devanagari Sangam MN" w:cs="Apple Symbols"/>
          <w:color w:val="000000"/>
          <w:sz w:val="32"/>
          <w:szCs w:val="32"/>
        </w:rPr>
      </w:pPr>
    </w:p>
    <w:p w:rsidR="00646F76" w:rsidRPr="00781C99" w:rsidRDefault="00646F76">
      <w:pPr>
        <w:rPr>
          <w:rFonts w:ascii="Bree Serif Regular" w:hAnsi="Bree Serif Regular"/>
          <w:sz w:val="32"/>
          <w:szCs w:val="32"/>
        </w:rPr>
      </w:pPr>
      <w:bookmarkStart w:id="0" w:name="_GoBack"/>
      <w:bookmarkEnd w:id="0"/>
    </w:p>
    <w:sectPr w:rsidR="00646F76" w:rsidRPr="00781C99"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33" w:rsidRDefault="00A56D33" w:rsidP="00894169">
      <w:r>
        <w:separator/>
      </w:r>
    </w:p>
  </w:endnote>
  <w:endnote w:type="continuationSeparator" w:id="0">
    <w:p w:rsidR="00A56D33" w:rsidRDefault="00A56D33"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33" w:rsidRDefault="00A56D33" w:rsidP="00894169">
      <w:r>
        <w:separator/>
      </w:r>
    </w:p>
  </w:footnote>
  <w:footnote w:type="continuationSeparator" w:id="0">
    <w:p w:rsidR="00A56D33" w:rsidRDefault="00A56D33"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1A53"/>
    <w:multiLevelType w:val="hybridMultilevel"/>
    <w:tmpl w:val="3F4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99"/>
    <w:rsid w:val="00006D4D"/>
    <w:rsid w:val="00081BE0"/>
    <w:rsid w:val="000C7557"/>
    <w:rsid w:val="001C41B5"/>
    <w:rsid w:val="00205AFB"/>
    <w:rsid w:val="003A00C7"/>
    <w:rsid w:val="003B016C"/>
    <w:rsid w:val="00646F76"/>
    <w:rsid w:val="00781C99"/>
    <w:rsid w:val="00875800"/>
    <w:rsid w:val="00894169"/>
    <w:rsid w:val="009D44AF"/>
    <w:rsid w:val="00A56D33"/>
    <w:rsid w:val="00A971ED"/>
    <w:rsid w:val="00C4505E"/>
    <w:rsid w:val="00CE5534"/>
    <w:rsid w:val="00D51910"/>
    <w:rsid w:val="00DA6FB0"/>
    <w:rsid w:val="00E26A3F"/>
    <w:rsid w:val="00E41A6E"/>
    <w:rsid w:val="00EA588F"/>
    <w:rsid w:val="00F01299"/>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character" w:customStyle="1" w:styleId="apple-converted-space">
    <w:name w:val="apple-converted-space"/>
    <w:basedOn w:val="DefaultParagraphFont"/>
    <w:rsid w:val="001C41B5"/>
  </w:style>
  <w:style w:type="character" w:styleId="Strong">
    <w:name w:val="Strong"/>
    <w:basedOn w:val="DefaultParagraphFont"/>
    <w:uiPriority w:val="22"/>
    <w:qFormat/>
    <w:rsid w:val="001C41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character" w:customStyle="1" w:styleId="apple-converted-space">
    <w:name w:val="apple-converted-space"/>
    <w:basedOn w:val="DefaultParagraphFont"/>
    <w:rsid w:val="001C41B5"/>
  </w:style>
  <w:style w:type="character" w:styleId="Strong">
    <w:name w:val="Strong"/>
    <w:basedOn w:val="DefaultParagraphFont"/>
    <w:uiPriority w:val="22"/>
    <w:qFormat/>
    <w:rsid w:val="001C4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D36D-C0E0-4D2A-A514-274ED0CA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51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2014-09-26T15:12:00Z</dcterms:created>
  <dcterms:modified xsi:type="dcterms:W3CDTF">2014-09-29T13:42:00Z</dcterms:modified>
</cp:coreProperties>
</file>