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D713" w14:textId="77777777" w:rsidR="00E340B2" w:rsidRDefault="00E340B2" w:rsidP="00E340B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0A59A33E" wp14:editId="2BD8342D">
            <wp:extent cx="1981200" cy="1133475"/>
            <wp:effectExtent l="0" t="0" r="0" b="9525"/>
            <wp:docPr id="28" name="Picture 2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C2BA" w14:textId="77777777" w:rsidR="00E340B2" w:rsidRDefault="00E340B2" w:rsidP="00E340B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75236B6" w14:textId="77777777" w:rsidR="00E340B2" w:rsidRDefault="00E340B2" w:rsidP="00E340B2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8895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Art History</w:t>
      </w:r>
    </w:p>
    <w:p w14:paraId="48098F20" w14:textId="77777777" w:rsidR="00E340B2" w:rsidRDefault="00E340B2" w:rsidP="00E340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31C4A281" w14:textId="77777777" w:rsidR="00E340B2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F9B0D92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 demonstrate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 awareness of the breadth and depth of Western and Asian visual and material culture, both through time and across geographical boundaries.</w:t>
      </w:r>
    </w:p>
    <w:p w14:paraId="5A648AA8" w14:textId="77777777" w:rsidR="00E340B2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282918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>Students will present their work in a written format that demonstrates strong research using primary and secondary resources, solid arguments, supporting evidence, and appropriate format.</w:t>
      </w:r>
    </w:p>
    <w:p w14:paraId="45BD644C" w14:textId="77777777" w:rsidR="00E340B2" w:rsidRPr="00CE304D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DBD84A4" w14:textId="77777777" w:rsidR="00E340B2" w:rsidRPr="00CE304D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>Students will present their work in an oral format that demonstrates strong research using primary and secondary resources, solid arguments, supporting evidence, and professional delivery.</w:t>
      </w:r>
    </w:p>
    <w:p w14:paraId="3A963091" w14:textId="77777777" w:rsidR="00E340B2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ED1EBDD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will 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>analyze and evaluate primary and secondary visual and textual sources using the vocabulary of the discipline.</w:t>
      </w:r>
    </w:p>
    <w:p w14:paraId="4652582C" w14:textId="77777777" w:rsidR="00E340B2" w:rsidRPr="00CE304D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0D767C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 explain connections between visual properties of the object and its social, cultural, intellectual, and historical contexts and meanings using the vocabulary of the discipline.</w:t>
      </w:r>
    </w:p>
    <w:p w14:paraId="7F875F77" w14:textId="77777777" w:rsidR="00E340B2" w:rsidRPr="00CE304D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7665211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 describe the broad outlines of the history of the discipline as presented in the discipline's foundational texts.</w:t>
      </w:r>
    </w:p>
    <w:p w14:paraId="7B671723" w14:textId="77777777" w:rsidR="00E340B2" w:rsidRPr="00CE304D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CEF8610" w14:textId="77777777" w:rsidR="00E340B2" w:rsidRDefault="00E340B2" w:rsidP="00E340B2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 apply and evaluate a variety of disciplinary and interdisciplinary methods.</w:t>
      </w:r>
    </w:p>
    <w:p w14:paraId="4BF6E077" w14:textId="77777777" w:rsidR="00E340B2" w:rsidRPr="00CE304D" w:rsidRDefault="00E340B2" w:rsidP="00E340B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90E081A" w14:textId="77777777" w:rsidR="00E340B2" w:rsidRPr="00CE304D" w:rsidRDefault="00E340B2" w:rsidP="00E34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will</w:t>
      </w:r>
      <w:r w:rsidRPr="00CE304D">
        <w:rPr>
          <w:rStyle w:val="markedcontent"/>
          <w:rFonts w:ascii="Times New Roman" w:hAnsi="Times New Roman" w:cs="Times New Roman"/>
          <w:sz w:val="24"/>
          <w:szCs w:val="24"/>
        </w:rPr>
        <w:t xml:space="preserve"> describe the historical and/or ethical issues related to the collection and display of art.</w:t>
      </w:r>
    </w:p>
    <w:bookmarkEnd w:id="0"/>
    <w:p w14:paraId="6982372D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A37"/>
    <w:multiLevelType w:val="hybridMultilevel"/>
    <w:tmpl w:val="DEC029EA"/>
    <w:lvl w:ilvl="0" w:tplc="9402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B2"/>
    <w:rsid w:val="006145C8"/>
    <w:rsid w:val="00E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6827"/>
  <w15:chartTrackingRefBased/>
  <w15:docId w15:val="{1D73CAF7-7DAF-49A2-94E4-9C934BB6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0B2"/>
    <w:pPr>
      <w:ind w:left="720"/>
      <w:contextualSpacing/>
    </w:pPr>
  </w:style>
  <w:style w:type="character" w:customStyle="1" w:styleId="markedcontent">
    <w:name w:val="markedcontent"/>
    <w:basedOn w:val="DefaultParagraphFont"/>
    <w:rsid w:val="00E3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2025-11-24T18:35:00Z</dcterms:created>
  <dcterms:modified xsi:type="dcterms:W3CDTF">2025-11-24T18:36:00Z</dcterms:modified>
</cp:coreProperties>
</file>