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43" w:rsidRDefault="00884943" w:rsidP="00884943">
      <w:pPr>
        <w:jc w:val="center"/>
        <w:rPr>
          <w:b/>
          <w:szCs w:val="23"/>
        </w:rPr>
      </w:pPr>
      <w:r>
        <w:rPr>
          <w:b/>
          <w:szCs w:val="23"/>
        </w:rPr>
        <w:t>State Council for Higher Education for Virginia</w:t>
      </w:r>
    </w:p>
    <w:p w:rsidR="00884943" w:rsidRDefault="00884943" w:rsidP="00884943">
      <w:pPr>
        <w:jc w:val="center"/>
        <w:rPr>
          <w:b/>
          <w:szCs w:val="23"/>
        </w:rPr>
      </w:pPr>
      <w:r>
        <w:rPr>
          <w:b/>
          <w:szCs w:val="23"/>
        </w:rPr>
        <w:t>Assessment of Competencies</w:t>
      </w:r>
    </w:p>
    <w:p w:rsidR="00884943" w:rsidRPr="0027716A" w:rsidRDefault="00F91421" w:rsidP="00884943">
      <w:pPr>
        <w:jc w:val="center"/>
        <w:rPr>
          <w:b/>
          <w:szCs w:val="23"/>
        </w:rPr>
      </w:pPr>
      <w:r>
        <w:rPr>
          <w:b/>
          <w:szCs w:val="23"/>
        </w:rPr>
        <w:t>Civic Engagement</w:t>
      </w:r>
    </w:p>
    <w:p w:rsidR="00884943" w:rsidRPr="0027716A" w:rsidRDefault="00884943" w:rsidP="00884943">
      <w:pPr>
        <w:jc w:val="center"/>
        <w:rPr>
          <w:b/>
          <w:szCs w:val="23"/>
        </w:rPr>
      </w:pPr>
      <w:r>
        <w:rPr>
          <w:b/>
          <w:szCs w:val="23"/>
        </w:rPr>
        <w:t xml:space="preserve">UNIVERSITY OF MARY </w:t>
      </w:r>
      <w:r w:rsidRPr="0027716A">
        <w:rPr>
          <w:b/>
          <w:szCs w:val="23"/>
        </w:rPr>
        <w:t>WASHINGTON</w:t>
      </w:r>
      <w:r>
        <w:rPr>
          <w:b/>
          <w:szCs w:val="23"/>
        </w:rPr>
        <w:br/>
        <w:t>20</w:t>
      </w:r>
      <w:r w:rsidR="00F91421">
        <w:rPr>
          <w:b/>
          <w:szCs w:val="23"/>
        </w:rPr>
        <w:t>20</w:t>
      </w:r>
    </w:p>
    <w:p w:rsidR="00884943" w:rsidRDefault="00884943" w:rsidP="00884943">
      <w:pPr>
        <w:jc w:val="center"/>
        <w:rPr>
          <w:sz w:val="23"/>
          <w:szCs w:val="23"/>
        </w:rPr>
      </w:pPr>
    </w:p>
    <w:p w:rsidR="00884943" w:rsidRPr="00AC7768" w:rsidRDefault="00884943" w:rsidP="00F91421">
      <w:pPr>
        <w:rPr>
          <w:sz w:val="23"/>
          <w:szCs w:val="23"/>
        </w:rPr>
      </w:pPr>
    </w:p>
    <w:p w:rsidR="00C8018C" w:rsidRPr="0006633D" w:rsidRDefault="00C8018C" w:rsidP="00507C0B">
      <w:pPr>
        <w:pStyle w:val="Default"/>
        <w:spacing w:after="200" w:line="276" w:lineRule="auto"/>
        <w:rPr>
          <w:rFonts w:ascii="Times New Roman" w:hAnsi="Times New Roman" w:cs="Times New Roman"/>
          <w:color w:val="auto"/>
        </w:rPr>
      </w:pPr>
      <w:r w:rsidRPr="0006633D">
        <w:rPr>
          <w:rFonts w:ascii="Times New Roman" w:hAnsi="Times New Roman" w:cs="Times New Roman"/>
          <w:b/>
          <w:szCs w:val="23"/>
        </w:rPr>
        <w:t>Definition</w:t>
      </w:r>
      <w:r w:rsidRPr="0006633D">
        <w:rPr>
          <w:rFonts w:ascii="Times New Roman" w:hAnsi="Times New Roman" w:cs="Times New Roman"/>
          <w:b/>
        </w:rPr>
        <w:t xml:space="preserve">.  </w:t>
      </w:r>
      <w:r w:rsidR="00507C0B" w:rsidRPr="00507C0B">
        <w:rPr>
          <w:rFonts w:ascii="Times New Roman" w:hAnsi="Times New Roman" w:cs="Times New Roman"/>
        </w:rPr>
        <w:t>A</w:t>
      </w:r>
      <w:r w:rsidR="00507C0B" w:rsidRPr="00507C0B">
        <w:rPr>
          <w:rFonts w:ascii="Times New Roman" w:hAnsi="Times New Roman" w:cs="Times New Roman"/>
          <w:color w:val="auto"/>
        </w:rPr>
        <w:t>n array of knowledge, abilities, values, attitudes, and behaviors that in combination allow individuals to contribute to the life of their communities. It includes course-based or extra-curricular efforts to identify and address issues of public or community concern and exploration of one’s role and responsibilities in society</w:t>
      </w:r>
      <w:r w:rsidR="00507C0B">
        <w:rPr>
          <w:rFonts w:ascii="Times New Roman" w:hAnsi="Times New Roman" w:cs="Times New Roman"/>
          <w:color w:val="auto"/>
        </w:rPr>
        <w:t>.</w:t>
      </w:r>
    </w:p>
    <w:p w:rsidR="00884943" w:rsidRDefault="00884943" w:rsidP="00F91421">
      <w:pPr>
        <w:rPr>
          <w:b/>
          <w:bCs/>
          <w:spacing w:val="3"/>
        </w:rPr>
      </w:pPr>
      <w:r>
        <w:rPr>
          <w:b/>
          <w:szCs w:val="23"/>
        </w:rPr>
        <w:t>Learning Outcomes</w:t>
      </w:r>
      <w:r>
        <w:rPr>
          <w:szCs w:val="23"/>
        </w:rPr>
        <w:t xml:space="preserve">. </w:t>
      </w:r>
      <w:r w:rsidR="00F91421">
        <w:rPr>
          <w:szCs w:val="23"/>
        </w:rPr>
        <w:t>Civic Engagement</w:t>
      </w:r>
      <w:r w:rsidR="002617CE" w:rsidRPr="0027716A">
        <w:rPr>
          <w:szCs w:val="23"/>
        </w:rPr>
        <w:t xml:space="preserve"> proficiency was evaluated by measuring students’ abilities across </w:t>
      </w:r>
      <w:r w:rsidR="00F91421">
        <w:rPr>
          <w:szCs w:val="23"/>
        </w:rPr>
        <w:t>three criteria</w:t>
      </w:r>
      <w:r w:rsidR="002617CE" w:rsidRPr="0027716A">
        <w:rPr>
          <w:szCs w:val="23"/>
        </w:rPr>
        <w:t xml:space="preserve"> as expressed in</w:t>
      </w:r>
      <w:r w:rsidR="00F91421">
        <w:rPr>
          <w:szCs w:val="23"/>
        </w:rPr>
        <w:t xml:space="preserve"> writing assignments for community engagement (CE) courses</w:t>
      </w:r>
      <w:r>
        <w:rPr>
          <w:szCs w:val="23"/>
        </w:rPr>
        <w:t>.</w:t>
      </w:r>
      <w:r w:rsidRPr="00884943">
        <w:rPr>
          <w:b/>
          <w:bCs/>
          <w:spacing w:val="3"/>
        </w:rPr>
        <w:t xml:space="preserve"> </w:t>
      </w:r>
    </w:p>
    <w:p w:rsidR="00F563F0" w:rsidRPr="00507C0B" w:rsidRDefault="00F563F0" w:rsidP="00507C0B">
      <w:pPr>
        <w:ind w:left="720"/>
        <w:rPr>
          <w:b/>
          <w:bCs/>
          <w:spacing w:val="3"/>
        </w:rPr>
      </w:pPr>
    </w:p>
    <w:p w:rsidR="00F563F0" w:rsidRPr="00507C0B" w:rsidRDefault="00507C0B" w:rsidP="00507C0B">
      <w:pPr>
        <w:ind w:left="720"/>
      </w:pPr>
      <w:r w:rsidRPr="00507C0B">
        <w:rPr>
          <w:b/>
        </w:rPr>
        <w:t>Analysis of Knowledge</w:t>
      </w:r>
      <w:r>
        <w:t xml:space="preserve">: </w:t>
      </w:r>
      <w:r w:rsidR="00F563F0" w:rsidRPr="00507C0B">
        <w:t xml:space="preserve">Connects and extends knowledge (facts, theories, etc.) from one's own academic study/ field/ discipline to community engagement and to one's own participation in </w:t>
      </w:r>
      <w:r w:rsidRPr="00507C0B">
        <w:t>civic</w:t>
      </w:r>
      <w:r w:rsidR="00F563F0" w:rsidRPr="00507C0B">
        <w:t xml:space="preserve"> life, politics, and government.</w:t>
      </w:r>
    </w:p>
    <w:p w:rsidR="00F563F0" w:rsidRPr="00507C0B" w:rsidRDefault="00F563F0" w:rsidP="00507C0B">
      <w:pPr>
        <w:ind w:left="720"/>
      </w:pPr>
    </w:p>
    <w:p w:rsidR="00F563F0" w:rsidRPr="00507C0B" w:rsidRDefault="00507C0B" w:rsidP="00507C0B">
      <w:pPr>
        <w:pStyle w:val="textbox"/>
        <w:shd w:val="clear" w:color="auto" w:fill="FFFFFF"/>
        <w:spacing w:before="0" w:beforeAutospacing="0" w:after="200" w:afterAutospacing="0" w:line="276" w:lineRule="auto"/>
        <w:ind w:left="720"/>
      </w:pPr>
      <w:r w:rsidRPr="00507C0B">
        <w:rPr>
          <w:b/>
        </w:rPr>
        <w:t>Identity/Commitment</w:t>
      </w:r>
      <w:r>
        <w:t xml:space="preserve">: </w:t>
      </w:r>
      <w:r w:rsidR="00F563F0" w:rsidRPr="00507C0B">
        <w:t xml:space="preserve">Provides evidence of experience in community-engagement activities and describes what </w:t>
      </w:r>
      <w:r w:rsidRPr="00507C0B">
        <w:t>the student</w:t>
      </w:r>
      <w:r w:rsidR="00F563F0" w:rsidRPr="00507C0B">
        <w:t xml:space="preserve"> has learned about </w:t>
      </w:r>
      <w:r w:rsidRPr="00507C0B">
        <w:t xml:space="preserve">themselves and their own role in the community </w:t>
      </w:r>
      <w:r w:rsidR="00F563F0" w:rsidRPr="00507C0B">
        <w:t xml:space="preserve">as it relates to a </w:t>
      </w:r>
      <w:r w:rsidRPr="00507C0B">
        <w:t>growing sense of public identity and</w:t>
      </w:r>
      <w:r w:rsidR="00F563F0" w:rsidRPr="00507C0B">
        <w:t xml:space="preserve"> commitment to public action.</w:t>
      </w:r>
    </w:p>
    <w:p w:rsidR="00F563F0" w:rsidRPr="00507C0B" w:rsidRDefault="00507C0B" w:rsidP="00507C0B">
      <w:pPr>
        <w:ind w:left="720"/>
      </w:pPr>
      <w:r w:rsidRPr="00507C0B">
        <w:rPr>
          <w:b/>
        </w:rPr>
        <w:t>Action and Reflection</w:t>
      </w:r>
      <w:r>
        <w:t xml:space="preserve">: </w:t>
      </w:r>
      <w:r w:rsidR="00F563F0" w:rsidRPr="00507C0B">
        <w:t xml:space="preserve">Demonstrates independent experience, accompanied by reflective insights or analysis about the aims and accomplishments of </w:t>
      </w:r>
      <w:r w:rsidRPr="00507C0B">
        <w:t>community action while making connections to other community issues.</w:t>
      </w:r>
    </w:p>
    <w:p w:rsidR="00884943" w:rsidRPr="00884943" w:rsidRDefault="00884943" w:rsidP="00F91421">
      <w:pPr>
        <w:rPr>
          <w:b/>
          <w:bCs/>
          <w:spacing w:val="3"/>
        </w:rPr>
      </w:pPr>
    </w:p>
    <w:p w:rsidR="002617CE" w:rsidRPr="0027716A" w:rsidRDefault="002617CE" w:rsidP="00F91421">
      <w:pPr>
        <w:rPr>
          <w:szCs w:val="23"/>
        </w:rPr>
      </w:pPr>
    </w:p>
    <w:p w:rsidR="00D27406" w:rsidRDefault="002617CE" w:rsidP="00F91421">
      <w:pPr>
        <w:rPr>
          <w:szCs w:val="23"/>
        </w:rPr>
      </w:pPr>
      <w:r w:rsidRPr="0027716A">
        <w:rPr>
          <w:b/>
          <w:szCs w:val="23"/>
        </w:rPr>
        <w:t>Standard(s) for Proficiency.</w:t>
      </w:r>
      <w:r w:rsidR="00507C0B">
        <w:rPr>
          <w:szCs w:val="23"/>
        </w:rPr>
        <w:t xml:space="preserve"> There are four rating categories </w:t>
      </w:r>
      <w:r w:rsidRPr="0027716A">
        <w:rPr>
          <w:szCs w:val="23"/>
        </w:rPr>
        <w:t xml:space="preserve">(i.e., </w:t>
      </w:r>
      <w:r w:rsidR="00D27406">
        <w:rPr>
          <w:i/>
          <w:szCs w:val="23"/>
        </w:rPr>
        <w:t>limited, average, good, high</w:t>
      </w:r>
      <w:r w:rsidR="00D27406">
        <w:rPr>
          <w:szCs w:val="23"/>
        </w:rPr>
        <w:t>)</w:t>
      </w:r>
      <w:r w:rsidR="00507C0B">
        <w:rPr>
          <w:szCs w:val="23"/>
        </w:rPr>
        <w:t xml:space="preserve"> for each SLO. 75% of </w:t>
      </w:r>
      <w:r w:rsidR="00D27406">
        <w:rPr>
          <w:szCs w:val="23"/>
        </w:rPr>
        <w:t xml:space="preserve">students </w:t>
      </w:r>
      <w:r w:rsidR="00507C0B">
        <w:rPr>
          <w:szCs w:val="23"/>
        </w:rPr>
        <w:t xml:space="preserve">must </w:t>
      </w:r>
      <w:r w:rsidR="00D27406">
        <w:rPr>
          <w:szCs w:val="23"/>
        </w:rPr>
        <w:t xml:space="preserve">pass </w:t>
      </w:r>
      <w:r w:rsidR="00507C0B">
        <w:rPr>
          <w:szCs w:val="23"/>
        </w:rPr>
        <w:t xml:space="preserve">each SLO </w:t>
      </w:r>
      <w:r w:rsidR="00D27406">
        <w:rPr>
          <w:szCs w:val="23"/>
        </w:rPr>
        <w:t>with a rating of 2</w:t>
      </w:r>
      <w:r w:rsidR="00507C0B">
        <w:rPr>
          <w:szCs w:val="23"/>
        </w:rPr>
        <w:t xml:space="preserve"> (average)</w:t>
      </w:r>
      <w:r w:rsidR="00D27406">
        <w:rPr>
          <w:szCs w:val="23"/>
        </w:rPr>
        <w:t xml:space="preserve"> or higher</w:t>
      </w:r>
      <w:r>
        <w:rPr>
          <w:szCs w:val="23"/>
        </w:rPr>
        <w:t xml:space="preserve">. </w:t>
      </w:r>
      <w:r w:rsidR="00507C0B" w:rsidRPr="0027716A">
        <w:rPr>
          <w:szCs w:val="23"/>
        </w:rPr>
        <w:t>The evaluation categories a</w:t>
      </w:r>
      <w:r w:rsidR="00507C0B">
        <w:rPr>
          <w:szCs w:val="23"/>
        </w:rPr>
        <w:t>re the same as those used in u</w:t>
      </w:r>
      <w:r w:rsidR="00507C0B" w:rsidRPr="0027716A">
        <w:rPr>
          <w:szCs w:val="23"/>
        </w:rPr>
        <w:t>niversity assessment</w:t>
      </w:r>
      <w:r w:rsidR="00507C0B">
        <w:rPr>
          <w:szCs w:val="23"/>
        </w:rPr>
        <w:t>s</w:t>
      </w:r>
      <w:r w:rsidR="00507C0B" w:rsidRPr="0027716A">
        <w:rPr>
          <w:szCs w:val="23"/>
        </w:rPr>
        <w:t xml:space="preserve"> of </w:t>
      </w:r>
      <w:r w:rsidR="00507C0B">
        <w:rPr>
          <w:szCs w:val="23"/>
        </w:rPr>
        <w:t xml:space="preserve">Community Engagement, a subset of our General Education category “Beyond </w:t>
      </w:r>
      <w:r w:rsidR="00C96FFB">
        <w:rPr>
          <w:szCs w:val="23"/>
        </w:rPr>
        <w:t>the Classroom.</w:t>
      </w:r>
      <w:r w:rsidR="00507C0B">
        <w:rPr>
          <w:szCs w:val="23"/>
        </w:rPr>
        <w:t>”</w:t>
      </w:r>
    </w:p>
    <w:p w:rsidR="002617CE" w:rsidRPr="0027716A" w:rsidRDefault="00D27406" w:rsidP="00F91421">
      <w:pPr>
        <w:rPr>
          <w:szCs w:val="23"/>
        </w:rPr>
      </w:pPr>
      <w:r w:rsidRPr="0027716A">
        <w:rPr>
          <w:szCs w:val="23"/>
        </w:rPr>
        <w:t xml:space="preserve"> </w:t>
      </w:r>
    </w:p>
    <w:p w:rsidR="002617CE" w:rsidRDefault="002617CE" w:rsidP="00F91421">
      <w:pPr>
        <w:rPr>
          <w:szCs w:val="23"/>
        </w:rPr>
      </w:pPr>
      <w:r w:rsidRPr="00E02F0E">
        <w:rPr>
          <w:b/>
          <w:szCs w:val="23"/>
        </w:rPr>
        <w:t>Description of Methodology Used to Gather Evidence of Proficiency.</w:t>
      </w:r>
      <w:r w:rsidRPr="00E02F0E">
        <w:rPr>
          <w:szCs w:val="23"/>
        </w:rPr>
        <w:t xml:space="preserve"> </w:t>
      </w:r>
      <w:r w:rsidR="00E530EF">
        <w:rPr>
          <w:szCs w:val="23"/>
        </w:rPr>
        <w:t xml:space="preserve"> </w:t>
      </w:r>
      <w:r w:rsidR="00D27406">
        <w:rPr>
          <w:szCs w:val="23"/>
        </w:rPr>
        <w:t>A</w:t>
      </w:r>
      <w:r w:rsidR="00F91421">
        <w:rPr>
          <w:szCs w:val="23"/>
        </w:rPr>
        <w:t xml:space="preserve">dministrative, discipline-trained </w:t>
      </w:r>
      <w:r w:rsidRPr="00E02F0E">
        <w:rPr>
          <w:szCs w:val="23"/>
        </w:rPr>
        <w:t>evaluators</w:t>
      </w:r>
      <w:r w:rsidR="00F91421">
        <w:rPr>
          <w:szCs w:val="23"/>
        </w:rPr>
        <w:t xml:space="preserve"> reviewed writing assignments</w:t>
      </w:r>
      <w:r w:rsidR="00D27406">
        <w:rPr>
          <w:szCs w:val="23"/>
        </w:rPr>
        <w:t xml:space="preserve"> from two Community Engagement courses </w:t>
      </w:r>
      <w:r w:rsidRPr="00E02F0E">
        <w:rPr>
          <w:szCs w:val="23"/>
        </w:rPr>
        <w:t xml:space="preserve">to assess proficiency in the categories listed above. </w:t>
      </w:r>
      <w:r w:rsidR="00D27406">
        <w:rPr>
          <w:szCs w:val="23"/>
        </w:rPr>
        <w:t>Final papers from Honors 201</w:t>
      </w:r>
      <w:r w:rsidR="00507C0B">
        <w:rPr>
          <w:szCs w:val="23"/>
        </w:rPr>
        <w:t xml:space="preserve"> (Service Learning)</w:t>
      </w:r>
      <w:r w:rsidR="00D27406">
        <w:rPr>
          <w:szCs w:val="23"/>
        </w:rPr>
        <w:t>, and multiple journal entry reflections from Psychology</w:t>
      </w:r>
      <w:r w:rsidR="00507C0B">
        <w:rPr>
          <w:szCs w:val="23"/>
        </w:rPr>
        <w:t xml:space="preserve"> 499 (</w:t>
      </w:r>
      <w:r w:rsidR="00D27406">
        <w:rPr>
          <w:szCs w:val="23"/>
        </w:rPr>
        <w:t>Internship</w:t>
      </w:r>
      <w:r w:rsidR="00507C0B">
        <w:rPr>
          <w:szCs w:val="23"/>
        </w:rPr>
        <w:t>)</w:t>
      </w:r>
      <w:r w:rsidR="00D27406">
        <w:rPr>
          <w:szCs w:val="23"/>
        </w:rPr>
        <w:t xml:space="preserve">, were read by two reviewers. </w:t>
      </w:r>
      <w:r w:rsidRPr="00E02F0E">
        <w:rPr>
          <w:szCs w:val="23"/>
        </w:rPr>
        <w:t>A to</w:t>
      </w:r>
      <w:r w:rsidR="00771BEB">
        <w:rPr>
          <w:szCs w:val="23"/>
        </w:rPr>
        <w:t>tal o</w:t>
      </w:r>
      <w:r w:rsidR="00D27406">
        <w:rPr>
          <w:szCs w:val="23"/>
        </w:rPr>
        <w:t xml:space="preserve">f 54 writing </w:t>
      </w:r>
      <w:r w:rsidR="00F91421">
        <w:rPr>
          <w:szCs w:val="23"/>
        </w:rPr>
        <w:t>assignments</w:t>
      </w:r>
      <w:r w:rsidR="00D27406">
        <w:rPr>
          <w:szCs w:val="23"/>
        </w:rPr>
        <w:t xml:space="preserve">, covering 28 students, </w:t>
      </w:r>
      <w:r w:rsidR="00F91421">
        <w:rPr>
          <w:szCs w:val="23"/>
        </w:rPr>
        <w:t xml:space="preserve">were evaluated. </w:t>
      </w:r>
      <w:r w:rsidR="00507C0B">
        <w:rPr>
          <w:szCs w:val="23"/>
        </w:rPr>
        <w:t>The i</w:t>
      </w:r>
      <w:r w:rsidRPr="00E02F0E">
        <w:rPr>
          <w:szCs w:val="23"/>
        </w:rPr>
        <w:t xml:space="preserve">ndividual </w:t>
      </w:r>
      <w:r w:rsidR="00D27406">
        <w:rPr>
          <w:szCs w:val="23"/>
        </w:rPr>
        <w:t>administrator</w:t>
      </w:r>
      <w:r w:rsidRPr="00E02F0E">
        <w:rPr>
          <w:szCs w:val="23"/>
        </w:rPr>
        <w:t xml:space="preserve"> evaluations were compared with each ot</w:t>
      </w:r>
      <w:r w:rsidR="00D27406">
        <w:rPr>
          <w:szCs w:val="23"/>
        </w:rPr>
        <w:t xml:space="preserve">her and, in cases where </w:t>
      </w:r>
      <w:r w:rsidRPr="00E02F0E">
        <w:rPr>
          <w:szCs w:val="23"/>
        </w:rPr>
        <w:t xml:space="preserve">team members did not agree on an overall rating, </w:t>
      </w:r>
      <w:r w:rsidR="00507C0B">
        <w:rPr>
          <w:szCs w:val="23"/>
        </w:rPr>
        <w:t>the evaluators</w:t>
      </w:r>
      <w:r w:rsidR="00F91421">
        <w:rPr>
          <w:szCs w:val="23"/>
        </w:rPr>
        <w:t xml:space="preserve"> discussed each assignment</w:t>
      </w:r>
      <w:r w:rsidRPr="00E02F0E">
        <w:rPr>
          <w:szCs w:val="23"/>
        </w:rPr>
        <w:t xml:space="preserve"> un</w:t>
      </w:r>
      <w:r w:rsidR="00D27406">
        <w:rPr>
          <w:szCs w:val="23"/>
        </w:rPr>
        <w:t>til agreement was reached on each</w:t>
      </w:r>
      <w:r w:rsidRPr="00E02F0E">
        <w:rPr>
          <w:szCs w:val="23"/>
        </w:rPr>
        <w:t xml:space="preserve"> </w:t>
      </w:r>
      <w:r w:rsidR="00D27406">
        <w:rPr>
          <w:szCs w:val="23"/>
        </w:rPr>
        <w:t>SLO category per student.</w:t>
      </w:r>
    </w:p>
    <w:p w:rsidR="00F91421" w:rsidRPr="00DF33B9" w:rsidRDefault="00F91421" w:rsidP="00F91421">
      <w:pPr>
        <w:rPr>
          <w:sz w:val="23"/>
          <w:szCs w:val="23"/>
        </w:rPr>
      </w:pPr>
    </w:p>
    <w:p w:rsidR="00F32074" w:rsidRDefault="00507C0B" w:rsidP="00F91421">
      <w:pPr>
        <w:rPr>
          <w:szCs w:val="23"/>
        </w:rPr>
      </w:pPr>
      <w:r>
        <w:rPr>
          <w:b/>
          <w:szCs w:val="23"/>
        </w:rPr>
        <w:t>Civic</w:t>
      </w:r>
      <w:r w:rsidR="00F91421">
        <w:rPr>
          <w:b/>
          <w:szCs w:val="23"/>
        </w:rPr>
        <w:t xml:space="preserve"> Engagement</w:t>
      </w:r>
      <w:r w:rsidR="005C45B2">
        <w:rPr>
          <w:b/>
          <w:szCs w:val="23"/>
        </w:rPr>
        <w:t xml:space="preserve"> </w:t>
      </w:r>
      <w:r>
        <w:rPr>
          <w:b/>
          <w:szCs w:val="23"/>
        </w:rPr>
        <w:t>Benchmark</w:t>
      </w:r>
      <w:r w:rsidR="005C45B2">
        <w:rPr>
          <w:b/>
          <w:szCs w:val="23"/>
        </w:rPr>
        <w:t xml:space="preserve">. </w:t>
      </w:r>
      <w:r w:rsidR="00F563F0">
        <w:rPr>
          <w:szCs w:val="23"/>
        </w:rPr>
        <w:t xml:space="preserve">For each SLO, the benchmark was at least 75% of students would achieve a passing score (2, average) or higher. </w:t>
      </w:r>
    </w:p>
    <w:p w:rsidR="002617CE" w:rsidRDefault="002617CE" w:rsidP="00F91421">
      <w:pPr>
        <w:rPr>
          <w:szCs w:val="23"/>
        </w:rPr>
      </w:pPr>
    </w:p>
    <w:p w:rsidR="00777FA0" w:rsidRDefault="00777FA0" w:rsidP="00F91421">
      <w:pPr>
        <w:rPr>
          <w:szCs w:val="23"/>
        </w:rPr>
      </w:pPr>
    </w:p>
    <w:p w:rsidR="00777FA0" w:rsidRDefault="00777FA0" w:rsidP="00F91421">
      <w:pPr>
        <w:rPr>
          <w:szCs w:val="23"/>
        </w:rPr>
      </w:pPr>
    </w:p>
    <w:p w:rsidR="00777FA0" w:rsidRDefault="00777FA0" w:rsidP="00F91421">
      <w:pPr>
        <w:rPr>
          <w:szCs w:val="23"/>
        </w:rPr>
      </w:pPr>
    </w:p>
    <w:p w:rsidR="00777FA0" w:rsidRDefault="00777FA0" w:rsidP="00777FA0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lastRenderedPageBreak/>
        <w:t xml:space="preserve">Results of </w:t>
      </w:r>
      <w:r w:rsidRPr="00777FA0">
        <w:rPr>
          <w:b/>
          <w:szCs w:val="23"/>
          <w:u w:val="single"/>
        </w:rPr>
        <w:t xml:space="preserve">Community Engagement Learning Outcomes </w:t>
      </w:r>
    </w:p>
    <w:p w:rsidR="00777FA0" w:rsidRPr="00777FA0" w:rsidRDefault="00777FA0" w:rsidP="00777FA0">
      <w:pPr>
        <w:jc w:val="center"/>
        <w:rPr>
          <w:b/>
          <w:szCs w:val="23"/>
          <w:u w:val="single"/>
        </w:rPr>
      </w:pPr>
    </w:p>
    <w:p w:rsidR="00507C0B" w:rsidRPr="00DF33B9" w:rsidRDefault="00507C0B" w:rsidP="00F91421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422"/>
        <w:gridCol w:w="2340"/>
        <w:gridCol w:w="2250"/>
      </w:tblGrid>
      <w:tr w:rsidR="00777FA0" w:rsidRPr="0086269A" w:rsidTr="00777FA0">
        <w:tc>
          <w:tcPr>
            <w:tcW w:w="1713" w:type="dxa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</w:p>
        </w:tc>
        <w:tc>
          <w:tcPr>
            <w:tcW w:w="2422" w:type="dxa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 1 A of K</w:t>
            </w:r>
          </w:p>
        </w:tc>
        <w:tc>
          <w:tcPr>
            <w:tcW w:w="2340" w:type="dxa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 2 ID/</w:t>
            </w:r>
            <w:proofErr w:type="spellStart"/>
            <w:r>
              <w:rPr>
                <w:sz w:val="23"/>
                <w:szCs w:val="23"/>
              </w:rPr>
              <w:t>Comm</w:t>
            </w:r>
            <w:proofErr w:type="spellEnd"/>
          </w:p>
        </w:tc>
        <w:tc>
          <w:tcPr>
            <w:tcW w:w="2250" w:type="dxa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SLO 3/A&amp;R</w:t>
            </w:r>
          </w:p>
        </w:tc>
      </w:tr>
      <w:tr w:rsidR="00777FA0" w:rsidRPr="0086269A" w:rsidTr="00777FA0">
        <w:trPr>
          <w:trHeight w:val="701"/>
        </w:trPr>
        <w:tc>
          <w:tcPr>
            <w:tcW w:w="1713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</w:t>
            </w:r>
            <w:r w:rsidRPr="0086269A">
              <w:rPr>
                <w:sz w:val="23"/>
                <w:szCs w:val="23"/>
              </w:rPr>
              <w:t>evaluated</w:t>
            </w:r>
          </w:p>
        </w:tc>
        <w:tc>
          <w:tcPr>
            <w:tcW w:w="2422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340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250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777FA0" w:rsidRPr="0086269A" w:rsidTr="00777FA0">
        <w:trPr>
          <w:trHeight w:val="647"/>
        </w:trPr>
        <w:tc>
          <w:tcPr>
            <w:tcW w:w="1713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Average</w:t>
            </w:r>
          </w:p>
        </w:tc>
        <w:tc>
          <w:tcPr>
            <w:tcW w:w="2422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2340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250" w:type="dxa"/>
            <w:vAlign w:val="center"/>
          </w:tcPr>
          <w:p w:rsidR="00777FA0" w:rsidRPr="0086269A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</w:tr>
      <w:tr w:rsidR="00777FA0" w:rsidRPr="0086269A" w:rsidTr="00777FA0">
        <w:trPr>
          <w:trHeight w:val="647"/>
        </w:trPr>
        <w:tc>
          <w:tcPr>
            <w:tcW w:w="1713" w:type="dxa"/>
            <w:vAlign w:val="center"/>
          </w:tcPr>
          <w:p w:rsidR="00777FA0" w:rsidRDefault="00777FA0" w:rsidP="00777F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# Passing (2 and above)</w:t>
            </w:r>
          </w:p>
        </w:tc>
        <w:tc>
          <w:tcPr>
            <w:tcW w:w="2422" w:type="dxa"/>
            <w:vAlign w:val="center"/>
          </w:tcPr>
          <w:p w:rsidR="00777FA0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(39%)</w:t>
            </w:r>
          </w:p>
        </w:tc>
        <w:tc>
          <w:tcPr>
            <w:tcW w:w="2340" w:type="dxa"/>
            <w:vAlign w:val="center"/>
          </w:tcPr>
          <w:p w:rsidR="00777FA0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(75%)</w:t>
            </w:r>
          </w:p>
        </w:tc>
        <w:tc>
          <w:tcPr>
            <w:tcW w:w="2250" w:type="dxa"/>
            <w:vAlign w:val="center"/>
          </w:tcPr>
          <w:p w:rsidR="00777FA0" w:rsidRDefault="00777FA0" w:rsidP="00F914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(71%)</w:t>
            </w:r>
          </w:p>
        </w:tc>
      </w:tr>
    </w:tbl>
    <w:p w:rsidR="002617CE" w:rsidRPr="00DF33B9" w:rsidRDefault="002617CE" w:rsidP="00F91421">
      <w:pPr>
        <w:rPr>
          <w:sz w:val="23"/>
          <w:szCs w:val="23"/>
        </w:rPr>
      </w:pPr>
    </w:p>
    <w:p w:rsidR="002617CE" w:rsidRDefault="002617CE" w:rsidP="00F91421">
      <w:pPr>
        <w:rPr>
          <w:sz w:val="23"/>
          <w:szCs w:val="23"/>
        </w:rPr>
      </w:pPr>
    </w:p>
    <w:p w:rsidR="00777FA0" w:rsidRPr="00777FA0" w:rsidRDefault="00777FA0" w:rsidP="00F91421">
      <w:pPr>
        <w:rPr>
          <w:b/>
          <w:sz w:val="23"/>
          <w:szCs w:val="23"/>
        </w:rPr>
      </w:pPr>
    </w:p>
    <w:p w:rsidR="00F32074" w:rsidRPr="00777FA0" w:rsidRDefault="00777FA0" w:rsidP="00F91421">
      <w:pPr>
        <w:rPr>
          <w:szCs w:val="23"/>
        </w:rPr>
      </w:pPr>
      <w:r w:rsidRPr="00777FA0">
        <w:rPr>
          <w:b/>
          <w:szCs w:val="23"/>
        </w:rPr>
        <w:t>Civic Engagement Summary</w:t>
      </w:r>
      <w:r>
        <w:rPr>
          <w:szCs w:val="23"/>
        </w:rPr>
        <w:t>: For one of the three SLOs, Identity/Commitment, students met the benchmark of 75%. For the third SLO, Action/Reflection students were quite close to the benchmark, with 71% achieving 2 or higher.</w:t>
      </w:r>
      <w:r>
        <w:t xml:space="preserve"> </w:t>
      </w:r>
      <w:r w:rsidR="00F563F0">
        <w:t xml:space="preserve">However, a </w:t>
      </w:r>
      <w:r>
        <w:t>large</w:t>
      </w:r>
      <w:r w:rsidR="00F32074" w:rsidRPr="00C86D48">
        <w:t xml:space="preserve"> percentage of students are not meeting proficiency expectations in </w:t>
      </w:r>
      <w:r w:rsidR="00F563F0">
        <w:t>SLO 1, Analysis of Knowledge</w:t>
      </w:r>
      <w:r w:rsidR="00F32074" w:rsidRPr="00C86D48">
        <w:t xml:space="preserve">. </w:t>
      </w:r>
      <w:r w:rsidR="00F563F0">
        <w:t xml:space="preserve">Only 39% of students achieved a 2 or better, with many students scoring </w:t>
      </w:r>
      <w:r>
        <w:t>at 0 (missing or incomplete), which indicates</w:t>
      </w:r>
      <w:r w:rsidR="00F563F0">
        <w:t xml:space="preserve"> they were not</w:t>
      </w:r>
      <w:r>
        <w:t xml:space="preserve"> addressing the knowledge in their </w:t>
      </w:r>
      <w:r w:rsidR="00F563F0">
        <w:t>academic studies to t</w:t>
      </w:r>
      <w:r>
        <w:t>heir community experience in the assignment at all</w:t>
      </w:r>
      <w:r w:rsidR="00F563F0">
        <w:t>. T</w:t>
      </w:r>
      <w:r>
        <w:t>his</w:t>
      </w:r>
      <w:r w:rsidR="00F563F0">
        <w:t xml:space="preserve"> issue could be addressed by providing the Community </w:t>
      </w:r>
      <w:r>
        <w:t>Engagement</w:t>
      </w:r>
      <w:r w:rsidR="00F563F0">
        <w:t xml:space="preserve"> </w:t>
      </w:r>
      <w:r w:rsidR="008903C6">
        <w:t>learning outcomes</w:t>
      </w:r>
      <w:r w:rsidR="00F563F0">
        <w:t xml:space="preserve"> ahead of time to students, as well </w:t>
      </w:r>
      <w:bookmarkStart w:id="0" w:name="_GoBack"/>
      <w:bookmarkEnd w:id="0"/>
      <w:r w:rsidR="00F563F0">
        <w:t>as altering assignments to more clearly require that students reflect on how their community engagement experiences address facts, theories, and/or knowledge from their academic studies (in the CE class or beyond).</w:t>
      </w:r>
    </w:p>
    <w:p w:rsidR="00B37E4D" w:rsidRDefault="00B37E4D" w:rsidP="00F91421">
      <w:pPr>
        <w:rPr>
          <w:sz w:val="23"/>
          <w:szCs w:val="23"/>
        </w:rPr>
      </w:pPr>
    </w:p>
    <w:p w:rsidR="00884943" w:rsidRDefault="00884943" w:rsidP="00F91421"/>
    <w:p w:rsidR="00884943" w:rsidRDefault="00884943" w:rsidP="00F91421">
      <w:r>
        <w:t>Report prepared by:</w:t>
      </w:r>
    </w:p>
    <w:p w:rsidR="00884943" w:rsidRPr="00C86D48" w:rsidRDefault="001F28E0" w:rsidP="00F91421">
      <w:r>
        <w:t>Debra Schleef</w:t>
      </w:r>
      <w:r w:rsidR="00884943" w:rsidRPr="00C86D48">
        <w:t xml:space="preserve"> – </w:t>
      </w:r>
      <w:r w:rsidR="009B4139">
        <w:t xml:space="preserve">Institutional </w:t>
      </w:r>
      <w:r w:rsidR="00884943" w:rsidRPr="00C86D48">
        <w:t>Assessment</w:t>
      </w:r>
    </w:p>
    <w:p w:rsidR="00884943" w:rsidRDefault="009B4139" w:rsidP="00F91421">
      <w:r>
        <w:t>Sarah Dewees, Community Engagement</w:t>
      </w:r>
    </w:p>
    <w:p w:rsidR="009B4139" w:rsidRPr="00C86D48" w:rsidRDefault="009B4139" w:rsidP="00F91421">
      <w:r>
        <w:t>August 2020</w:t>
      </w:r>
    </w:p>
    <w:p w:rsidR="00884943" w:rsidRPr="00AC7768" w:rsidRDefault="00884943" w:rsidP="00F91421">
      <w:pPr>
        <w:rPr>
          <w:sz w:val="23"/>
          <w:szCs w:val="23"/>
        </w:rPr>
      </w:pPr>
    </w:p>
    <w:sectPr w:rsidR="00884943" w:rsidRPr="00AC7768" w:rsidSect="002617C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7"/>
    <w:rsid w:val="00036B80"/>
    <w:rsid w:val="000520C1"/>
    <w:rsid w:val="00054BBD"/>
    <w:rsid w:val="00063A1E"/>
    <w:rsid w:val="00065902"/>
    <w:rsid w:val="0006633D"/>
    <w:rsid w:val="00096A1B"/>
    <w:rsid w:val="000F0B19"/>
    <w:rsid w:val="00107BF4"/>
    <w:rsid w:val="00126154"/>
    <w:rsid w:val="0012745D"/>
    <w:rsid w:val="00130D7D"/>
    <w:rsid w:val="001A45F0"/>
    <w:rsid w:val="001C14F3"/>
    <w:rsid w:val="001F28E0"/>
    <w:rsid w:val="001F6ADD"/>
    <w:rsid w:val="002136CB"/>
    <w:rsid w:val="00253F5F"/>
    <w:rsid w:val="00255D01"/>
    <w:rsid w:val="002617CE"/>
    <w:rsid w:val="0026446A"/>
    <w:rsid w:val="0027556F"/>
    <w:rsid w:val="00295A29"/>
    <w:rsid w:val="002A3DD5"/>
    <w:rsid w:val="002B1B28"/>
    <w:rsid w:val="002D21AA"/>
    <w:rsid w:val="002E0399"/>
    <w:rsid w:val="002F0497"/>
    <w:rsid w:val="003356B3"/>
    <w:rsid w:val="0035338B"/>
    <w:rsid w:val="003621FE"/>
    <w:rsid w:val="003A1B39"/>
    <w:rsid w:val="003A538C"/>
    <w:rsid w:val="003F2D95"/>
    <w:rsid w:val="004050FE"/>
    <w:rsid w:val="004141C4"/>
    <w:rsid w:val="00417897"/>
    <w:rsid w:val="0042794F"/>
    <w:rsid w:val="00451B3B"/>
    <w:rsid w:val="00467850"/>
    <w:rsid w:val="004D177F"/>
    <w:rsid w:val="00507C0B"/>
    <w:rsid w:val="00543DFA"/>
    <w:rsid w:val="00550786"/>
    <w:rsid w:val="005C45B2"/>
    <w:rsid w:val="005E3E39"/>
    <w:rsid w:val="00611AFE"/>
    <w:rsid w:val="00612036"/>
    <w:rsid w:val="00623E4B"/>
    <w:rsid w:val="00646060"/>
    <w:rsid w:val="00674D23"/>
    <w:rsid w:val="00692214"/>
    <w:rsid w:val="006A7A0F"/>
    <w:rsid w:val="006D6E9E"/>
    <w:rsid w:val="006D79CF"/>
    <w:rsid w:val="007046FF"/>
    <w:rsid w:val="00713154"/>
    <w:rsid w:val="00725929"/>
    <w:rsid w:val="00771BEB"/>
    <w:rsid w:val="0077797B"/>
    <w:rsid w:val="00777FA0"/>
    <w:rsid w:val="00783D53"/>
    <w:rsid w:val="007A65AC"/>
    <w:rsid w:val="007E0E48"/>
    <w:rsid w:val="008650D1"/>
    <w:rsid w:val="00884943"/>
    <w:rsid w:val="008903C6"/>
    <w:rsid w:val="008F5654"/>
    <w:rsid w:val="00990C63"/>
    <w:rsid w:val="009A4B3D"/>
    <w:rsid w:val="009B099D"/>
    <w:rsid w:val="009B4139"/>
    <w:rsid w:val="009B4810"/>
    <w:rsid w:val="009C2471"/>
    <w:rsid w:val="009C5E29"/>
    <w:rsid w:val="00A130B3"/>
    <w:rsid w:val="00A47A42"/>
    <w:rsid w:val="00AA1F59"/>
    <w:rsid w:val="00B00C65"/>
    <w:rsid w:val="00B12A7F"/>
    <w:rsid w:val="00B24B82"/>
    <w:rsid w:val="00B37E4D"/>
    <w:rsid w:val="00B633E1"/>
    <w:rsid w:val="00B6462C"/>
    <w:rsid w:val="00B95CDF"/>
    <w:rsid w:val="00BA6B4B"/>
    <w:rsid w:val="00BD45A6"/>
    <w:rsid w:val="00BE2E0B"/>
    <w:rsid w:val="00C011AB"/>
    <w:rsid w:val="00C03677"/>
    <w:rsid w:val="00C8018C"/>
    <w:rsid w:val="00C819C6"/>
    <w:rsid w:val="00C91093"/>
    <w:rsid w:val="00C96FFB"/>
    <w:rsid w:val="00CB697B"/>
    <w:rsid w:val="00CC433D"/>
    <w:rsid w:val="00CF2FA4"/>
    <w:rsid w:val="00CF38B9"/>
    <w:rsid w:val="00D24501"/>
    <w:rsid w:val="00D27406"/>
    <w:rsid w:val="00D65F25"/>
    <w:rsid w:val="00D666AA"/>
    <w:rsid w:val="00DC31DB"/>
    <w:rsid w:val="00DC4A42"/>
    <w:rsid w:val="00DC72E2"/>
    <w:rsid w:val="00DD390D"/>
    <w:rsid w:val="00E25C5E"/>
    <w:rsid w:val="00E25F5B"/>
    <w:rsid w:val="00E530EF"/>
    <w:rsid w:val="00E572DC"/>
    <w:rsid w:val="00EB2774"/>
    <w:rsid w:val="00EC5ED0"/>
    <w:rsid w:val="00ED3018"/>
    <w:rsid w:val="00F073F3"/>
    <w:rsid w:val="00F24E86"/>
    <w:rsid w:val="00F32074"/>
    <w:rsid w:val="00F563F0"/>
    <w:rsid w:val="00F66041"/>
    <w:rsid w:val="00F80318"/>
    <w:rsid w:val="00F91421"/>
    <w:rsid w:val="00F9168F"/>
    <w:rsid w:val="00FC2BE9"/>
    <w:rsid w:val="00FD261F"/>
    <w:rsid w:val="00FD7C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601B"/>
  <w14:defaultImageDpi w14:val="300"/>
  <w15:chartTrackingRefBased/>
  <w15:docId w15:val="{EE34B926-02BE-4DDD-932F-B895419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18C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paragraph" w:customStyle="1" w:styleId="textbox">
    <w:name w:val="textbox"/>
    <w:basedOn w:val="Normal"/>
    <w:rsid w:val="00F56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6A63-6036-419C-B220-2065E207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ORAL COMMUNICATION AT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ORAL COMMUNICATION AT</dc:title>
  <dc:subject/>
  <dc:creator>Anand Rao</dc:creator>
  <cp:keywords/>
  <dc:description/>
  <cp:lastModifiedBy>Debra Schleef (dschleef)</cp:lastModifiedBy>
  <cp:revision>6</cp:revision>
  <cp:lastPrinted>2006-06-08T19:42:00Z</cp:lastPrinted>
  <dcterms:created xsi:type="dcterms:W3CDTF">2020-10-01T17:15:00Z</dcterms:created>
  <dcterms:modified xsi:type="dcterms:W3CDTF">2020-11-13T14:49:00Z</dcterms:modified>
</cp:coreProperties>
</file>