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04F" w:rsidRDefault="004B004F" w:rsidP="002617CE">
      <w:pPr>
        <w:jc w:val="center"/>
        <w:rPr>
          <w:b/>
          <w:szCs w:val="23"/>
        </w:rPr>
      </w:pPr>
      <w:r>
        <w:rPr>
          <w:b/>
          <w:szCs w:val="23"/>
        </w:rPr>
        <w:t>State Council for Higher Education for Virginia</w:t>
      </w:r>
    </w:p>
    <w:p w:rsidR="004B004F" w:rsidRDefault="004B004F" w:rsidP="002617CE">
      <w:pPr>
        <w:jc w:val="center"/>
        <w:rPr>
          <w:b/>
          <w:szCs w:val="23"/>
        </w:rPr>
      </w:pPr>
      <w:r>
        <w:rPr>
          <w:b/>
          <w:szCs w:val="23"/>
        </w:rPr>
        <w:t>Assessment of Competencies</w:t>
      </w:r>
    </w:p>
    <w:p w:rsidR="00FC2BE9" w:rsidRPr="0027716A" w:rsidRDefault="0081306F" w:rsidP="002617CE">
      <w:pPr>
        <w:jc w:val="center"/>
        <w:rPr>
          <w:b/>
          <w:szCs w:val="23"/>
        </w:rPr>
      </w:pPr>
      <w:r>
        <w:rPr>
          <w:b/>
          <w:szCs w:val="23"/>
        </w:rPr>
        <w:t xml:space="preserve">WRITTEN </w:t>
      </w:r>
      <w:r w:rsidR="00D65F25">
        <w:rPr>
          <w:b/>
          <w:szCs w:val="23"/>
        </w:rPr>
        <w:t xml:space="preserve">COMMUNICATION </w:t>
      </w:r>
    </w:p>
    <w:p w:rsidR="002617CE" w:rsidRPr="0027716A" w:rsidRDefault="001C14F3" w:rsidP="002617CE">
      <w:pPr>
        <w:jc w:val="center"/>
        <w:rPr>
          <w:b/>
          <w:szCs w:val="23"/>
        </w:rPr>
      </w:pPr>
      <w:r>
        <w:rPr>
          <w:b/>
          <w:szCs w:val="23"/>
        </w:rPr>
        <w:t xml:space="preserve">UNIVERSITY </w:t>
      </w:r>
      <w:r w:rsidR="00F073F3">
        <w:rPr>
          <w:b/>
          <w:szCs w:val="23"/>
        </w:rPr>
        <w:t xml:space="preserve">OF </w:t>
      </w:r>
      <w:r w:rsidR="00D65F25">
        <w:rPr>
          <w:b/>
          <w:szCs w:val="23"/>
        </w:rPr>
        <w:t xml:space="preserve">MARY </w:t>
      </w:r>
      <w:r w:rsidR="002617CE" w:rsidRPr="0027716A">
        <w:rPr>
          <w:b/>
          <w:szCs w:val="23"/>
        </w:rPr>
        <w:t>WASHINGTON</w:t>
      </w:r>
      <w:r w:rsidR="004B004F">
        <w:rPr>
          <w:b/>
          <w:szCs w:val="23"/>
        </w:rPr>
        <w:br/>
        <w:t>June 30, 2019</w:t>
      </w:r>
    </w:p>
    <w:p w:rsidR="002617CE" w:rsidRDefault="002617CE" w:rsidP="002617CE">
      <w:pPr>
        <w:jc w:val="center"/>
        <w:rPr>
          <w:sz w:val="23"/>
          <w:szCs w:val="23"/>
        </w:rPr>
      </w:pPr>
    </w:p>
    <w:p w:rsidR="008650D1" w:rsidRPr="00AC7768" w:rsidRDefault="008650D1" w:rsidP="002617CE">
      <w:pPr>
        <w:jc w:val="center"/>
        <w:rPr>
          <w:sz w:val="23"/>
          <w:szCs w:val="23"/>
        </w:rPr>
      </w:pPr>
    </w:p>
    <w:p w:rsidR="00FE20F5" w:rsidRPr="00FE20F5" w:rsidRDefault="006472C9" w:rsidP="00FE20F5">
      <w:pPr>
        <w:autoSpaceDE w:val="0"/>
        <w:autoSpaceDN w:val="0"/>
        <w:adjustRightInd w:val="0"/>
        <w:rPr>
          <w:rFonts w:eastAsiaTheme="minorHAnsi"/>
        </w:rPr>
      </w:pPr>
      <w:r w:rsidRPr="00FE20F5">
        <w:rPr>
          <w:b/>
        </w:rPr>
        <w:t>Definition</w:t>
      </w:r>
      <w:r w:rsidRPr="00FE20F5">
        <w:t xml:space="preserve">. </w:t>
      </w:r>
      <w:r w:rsidR="00FE20F5" w:rsidRPr="00FE20F5">
        <w:rPr>
          <w:rFonts w:eastAsiaTheme="minorHAnsi"/>
          <w:color w:val="000000"/>
        </w:rPr>
        <w:t>T</w:t>
      </w:r>
      <w:r w:rsidR="00FE20F5" w:rsidRPr="00FE20F5">
        <w:rPr>
          <w:rFonts w:eastAsiaTheme="minorHAnsi"/>
        </w:rPr>
        <w:t xml:space="preserve">he ability to develop and communicate ideas effectively in writing as appropriate to a given context, purpose, and audience. It includes a variety of styles, genres, and media, including computer-mediated communications. </w:t>
      </w:r>
    </w:p>
    <w:p w:rsidR="0081306F" w:rsidRDefault="0081306F" w:rsidP="002617CE">
      <w:pPr>
        <w:jc w:val="both"/>
        <w:rPr>
          <w:b/>
          <w:szCs w:val="23"/>
        </w:rPr>
      </w:pPr>
    </w:p>
    <w:p w:rsidR="002617CE" w:rsidRDefault="006472C9" w:rsidP="00AC41DE">
      <w:pPr>
        <w:jc w:val="both"/>
        <w:rPr>
          <w:szCs w:val="23"/>
        </w:rPr>
      </w:pPr>
      <w:r>
        <w:rPr>
          <w:b/>
          <w:szCs w:val="23"/>
        </w:rPr>
        <w:t xml:space="preserve">Learning Outcomes. </w:t>
      </w:r>
      <w:r w:rsidR="00AC41DE">
        <w:rPr>
          <w:b/>
          <w:szCs w:val="23"/>
        </w:rPr>
        <w:t xml:space="preserve"> </w:t>
      </w:r>
      <w:r w:rsidR="00AC41DE">
        <w:rPr>
          <w:szCs w:val="23"/>
        </w:rPr>
        <w:t>Written</w:t>
      </w:r>
      <w:r w:rsidR="00AC41DE" w:rsidRPr="0027716A">
        <w:rPr>
          <w:szCs w:val="23"/>
        </w:rPr>
        <w:t xml:space="preserve"> communication proficiency was evaluated by measuring students’ abilities in </w:t>
      </w:r>
      <w:r w:rsidR="00AC41DE">
        <w:rPr>
          <w:szCs w:val="23"/>
        </w:rPr>
        <w:t>four</w:t>
      </w:r>
      <w:r w:rsidR="00AC41DE" w:rsidRPr="0027716A">
        <w:rPr>
          <w:szCs w:val="23"/>
        </w:rPr>
        <w:t xml:space="preserve"> categories </w:t>
      </w:r>
      <w:r w:rsidR="00AC41DE">
        <w:rPr>
          <w:szCs w:val="23"/>
        </w:rPr>
        <w:t>as expressed in an essay written for English 202 writing seminar.</w:t>
      </w:r>
    </w:p>
    <w:p w:rsidR="00FE20F5" w:rsidRPr="001A5737" w:rsidRDefault="00FE20F5" w:rsidP="002617CE">
      <w:pPr>
        <w:jc w:val="both"/>
        <w:rPr>
          <w:b/>
          <w:szCs w:val="23"/>
        </w:rPr>
      </w:pPr>
    </w:p>
    <w:p w:rsidR="0081306F" w:rsidRPr="00FE20F5" w:rsidRDefault="0081306F" w:rsidP="00FE20F5">
      <w:pPr>
        <w:ind w:left="720"/>
      </w:pPr>
      <w:r w:rsidRPr="00FE20F5">
        <w:t>Students will demonstrate satisfactory knowledge of the varying strategies to convey arguments, main ideas and support/evidence.</w:t>
      </w:r>
    </w:p>
    <w:p w:rsidR="0081306F" w:rsidRPr="00FE20F5" w:rsidRDefault="0081306F" w:rsidP="00FE20F5">
      <w:pPr>
        <w:ind w:left="720"/>
      </w:pPr>
      <w:r w:rsidRPr="00FE20F5">
        <w:t>Students will demonstrate satisfactory knowledge of the varying patterns of composition organization and development.</w:t>
      </w:r>
    </w:p>
    <w:p w:rsidR="0081306F" w:rsidRPr="00FE20F5" w:rsidRDefault="0081306F" w:rsidP="00FE20F5">
      <w:pPr>
        <w:ind w:left="720"/>
      </w:pPr>
      <w:r w:rsidRPr="00FE20F5">
        <w:t>Students will demonstrate satisfactory knowledge of the audience, the role of the writer, and rhetorical strategies.</w:t>
      </w:r>
    </w:p>
    <w:p w:rsidR="0081306F" w:rsidRPr="00FE20F5" w:rsidRDefault="0081306F" w:rsidP="00FE20F5">
      <w:pPr>
        <w:ind w:left="720"/>
      </w:pPr>
      <w:r w:rsidRPr="00FE20F5">
        <w:t>Students will demonstrate satisfactory knowledge of writing conventions and correctness.</w:t>
      </w:r>
    </w:p>
    <w:p w:rsidR="002617CE" w:rsidRPr="00FE20F5" w:rsidRDefault="0081306F" w:rsidP="00FE20F5">
      <w:pPr>
        <w:ind w:left="720"/>
        <w:jc w:val="both"/>
      </w:pPr>
      <w:r w:rsidRPr="00FE20F5">
        <w:t>Students will understand the process of editing and revising their written work.</w:t>
      </w:r>
    </w:p>
    <w:p w:rsidR="00FE20F5" w:rsidRPr="0027716A" w:rsidRDefault="00FE20F5" w:rsidP="0081306F">
      <w:pPr>
        <w:jc w:val="both"/>
        <w:rPr>
          <w:szCs w:val="23"/>
        </w:rPr>
      </w:pPr>
    </w:p>
    <w:p w:rsidR="002617CE" w:rsidRPr="0027716A" w:rsidRDefault="002617CE" w:rsidP="00AC41DE">
      <w:pPr>
        <w:rPr>
          <w:szCs w:val="23"/>
        </w:rPr>
      </w:pPr>
      <w:r w:rsidRPr="0027716A">
        <w:rPr>
          <w:b/>
          <w:szCs w:val="23"/>
        </w:rPr>
        <w:t>Standard(s) for Proficiency.</w:t>
      </w:r>
      <w:r w:rsidRPr="0027716A">
        <w:rPr>
          <w:szCs w:val="23"/>
        </w:rPr>
        <w:t xml:space="preserve">  Of </w:t>
      </w:r>
      <w:r w:rsidR="009F1E50">
        <w:rPr>
          <w:szCs w:val="23"/>
        </w:rPr>
        <w:t>the four</w:t>
      </w:r>
      <w:r w:rsidRPr="0027716A">
        <w:rPr>
          <w:szCs w:val="23"/>
        </w:rPr>
        <w:t xml:space="preserve"> rating categories (</w:t>
      </w:r>
      <w:r w:rsidR="00AC41DE">
        <w:t>l</w:t>
      </w:r>
      <w:r w:rsidR="009F1E50">
        <w:t>imit</w:t>
      </w:r>
      <w:r w:rsidR="00AC41DE">
        <w:t>ed proficiency,</w:t>
      </w:r>
      <w:r w:rsidR="009F1E50">
        <w:t xml:space="preserve"> </w:t>
      </w:r>
      <w:r w:rsidR="00AC41DE">
        <w:t>minimal proficiency,</w:t>
      </w:r>
      <w:r w:rsidR="009F1E50">
        <w:t xml:space="preserve"> </w:t>
      </w:r>
      <w:r w:rsidR="00AC41DE">
        <w:t>average proficiency, and high p</w:t>
      </w:r>
      <w:r w:rsidR="009F1E50">
        <w:t>roficiency</w:t>
      </w:r>
      <w:r w:rsidR="009F1E50">
        <w:rPr>
          <w:szCs w:val="23"/>
        </w:rPr>
        <w:t>), at least 85</w:t>
      </w:r>
      <w:r w:rsidRPr="0027716A">
        <w:rPr>
          <w:szCs w:val="23"/>
        </w:rPr>
        <w:t>% of students will receive a</w:t>
      </w:r>
      <w:r>
        <w:rPr>
          <w:szCs w:val="23"/>
        </w:rPr>
        <w:t>n overall</w:t>
      </w:r>
      <w:r w:rsidRPr="0027716A">
        <w:rPr>
          <w:szCs w:val="23"/>
        </w:rPr>
        <w:t xml:space="preserve"> rating of </w:t>
      </w:r>
      <w:r w:rsidR="009F1E50">
        <w:rPr>
          <w:i/>
          <w:szCs w:val="23"/>
        </w:rPr>
        <w:t xml:space="preserve">average </w:t>
      </w:r>
      <w:r w:rsidR="009F1E50" w:rsidRPr="00AC41DE">
        <w:rPr>
          <w:szCs w:val="23"/>
        </w:rPr>
        <w:t>or</w:t>
      </w:r>
      <w:r w:rsidR="009F1E50">
        <w:rPr>
          <w:i/>
          <w:szCs w:val="23"/>
        </w:rPr>
        <w:t xml:space="preserve"> high</w:t>
      </w:r>
      <w:r>
        <w:rPr>
          <w:szCs w:val="23"/>
        </w:rPr>
        <w:t xml:space="preserve">. </w:t>
      </w:r>
      <w:r w:rsidR="009F1E50">
        <w:t xml:space="preserve">It is also </w:t>
      </w:r>
      <w:r w:rsidR="00AC41DE">
        <w:t>our</w:t>
      </w:r>
      <w:r w:rsidR="009F1E50">
        <w:t xml:space="preserve"> goal</w:t>
      </w:r>
      <w:r w:rsidR="009F1E50">
        <w:t xml:space="preserve"> </w:t>
      </w:r>
      <w:r w:rsidR="00AC41DE">
        <w:t>for</w:t>
      </w:r>
      <w:r w:rsidR="009F1E50">
        <w:t xml:space="preserve"> each student </w:t>
      </w:r>
      <w:r w:rsidR="00AC41DE">
        <w:t xml:space="preserve">to </w:t>
      </w:r>
      <w:r w:rsidR="009F1E50">
        <w:t xml:space="preserve">score at least 85% for </w:t>
      </w:r>
      <w:r w:rsidR="009F1E50" w:rsidRPr="00AC41DE">
        <w:rPr>
          <w:i/>
        </w:rPr>
        <w:t>each</w:t>
      </w:r>
      <w:r w:rsidR="009F1E50">
        <w:t xml:space="preserve"> of the four learning objectives. </w:t>
      </w:r>
      <w:r>
        <w:rPr>
          <w:szCs w:val="23"/>
        </w:rPr>
        <w:t xml:space="preserve">The assessment </w:t>
      </w:r>
      <w:r w:rsidR="004B004F">
        <w:rPr>
          <w:szCs w:val="23"/>
        </w:rPr>
        <w:t>provides</w:t>
      </w:r>
      <w:r w:rsidRPr="0027716A">
        <w:rPr>
          <w:szCs w:val="23"/>
        </w:rPr>
        <w:t xml:space="preserve"> a point of comparison to gauge </w:t>
      </w:r>
      <w:r>
        <w:rPr>
          <w:szCs w:val="23"/>
        </w:rPr>
        <w:t xml:space="preserve">the </w:t>
      </w:r>
      <w:r w:rsidRPr="0027716A">
        <w:rPr>
          <w:szCs w:val="23"/>
        </w:rPr>
        <w:t xml:space="preserve">proficiencies of </w:t>
      </w:r>
      <w:r w:rsidR="009F1E50">
        <w:rPr>
          <w:szCs w:val="23"/>
        </w:rPr>
        <w:t xml:space="preserve">a cross-section of all </w:t>
      </w:r>
      <w:r w:rsidR="00AC41DE">
        <w:rPr>
          <w:szCs w:val="23"/>
        </w:rPr>
        <w:t xml:space="preserve">of our </w:t>
      </w:r>
      <w:r w:rsidRPr="0027716A">
        <w:rPr>
          <w:szCs w:val="23"/>
        </w:rPr>
        <w:t xml:space="preserve">students in </w:t>
      </w:r>
      <w:r w:rsidR="009F1E50">
        <w:rPr>
          <w:szCs w:val="23"/>
        </w:rPr>
        <w:t>written</w:t>
      </w:r>
      <w:r w:rsidRPr="0027716A">
        <w:rPr>
          <w:szCs w:val="23"/>
        </w:rPr>
        <w:t xml:space="preserve"> communication.</w:t>
      </w:r>
    </w:p>
    <w:p w:rsidR="002617CE" w:rsidRPr="0027716A" w:rsidRDefault="002617CE" w:rsidP="002617CE">
      <w:pPr>
        <w:jc w:val="both"/>
        <w:rPr>
          <w:szCs w:val="23"/>
        </w:rPr>
      </w:pPr>
    </w:p>
    <w:p w:rsidR="009F1E50" w:rsidRDefault="002617CE" w:rsidP="009F1E50">
      <w:pPr>
        <w:pStyle w:val="ListParagraph"/>
        <w:spacing w:line="240" w:lineRule="auto"/>
        <w:ind w:left="0"/>
        <w:rPr>
          <w:sz w:val="24"/>
          <w:szCs w:val="24"/>
        </w:rPr>
      </w:pPr>
      <w:r w:rsidRPr="00E02F0E">
        <w:rPr>
          <w:b/>
          <w:szCs w:val="23"/>
        </w:rPr>
        <w:t>Description of Methodology Used to Gather Evidence of Proficiency.</w:t>
      </w:r>
      <w:r w:rsidRPr="00E02F0E">
        <w:rPr>
          <w:szCs w:val="23"/>
        </w:rPr>
        <w:t xml:space="preserve"> </w:t>
      </w:r>
      <w:r w:rsidR="00FE20F5">
        <w:rPr>
          <w:szCs w:val="23"/>
        </w:rPr>
        <w:t xml:space="preserve"> </w:t>
      </w:r>
      <w:r w:rsidRPr="00E02F0E">
        <w:rPr>
          <w:szCs w:val="23"/>
        </w:rPr>
        <w:t xml:space="preserve"> </w:t>
      </w:r>
      <w:r w:rsidR="00AC41DE">
        <w:rPr>
          <w:sz w:val="24"/>
          <w:szCs w:val="24"/>
        </w:rPr>
        <w:t>Essays</w:t>
      </w:r>
      <w:r w:rsidR="00AC41DE">
        <w:rPr>
          <w:sz w:val="24"/>
          <w:szCs w:val="24"/>
        </w:rPr>
        <w:t xml:space="preserve"> are collected from English 202, a writing seminar with our Writing Intensive designation with a variety</w:t>
      </w:r>
      <w:r w:rsidR="00AC41DE">
        <w:rPr>
          <w:sz w:val="24"/>
          <w:szCs w:val="24"/>
        </w:rPr>
        <w:t xml:space="preserve"> </w:t>
      </w:r>
      <w:r w:rsidR="00AC41DE">
        <w:rPr>
          <w:sz w:val="24"/>
          <w:szCs w:val="24"/>
        </w:rPr>
        <w:t xml:space="preserve">of topics that serve as a focus for the writing assignments. </w:t>
      </w:r>
      <w:r w:rsidR="00AC41DE">
        <w:rPr>
          <w:szCs w:val="23"/>
        </w:rPr>
        <w:t>Students</w:t>
      </w:r>
      <w:r w:rsidR="00AC41DE" w:rsidRPr="009F1E50">
        <w:rPr>
          <w:szCs w:val="23"/>
        </w:rPr>
        <w:t xml:space="preserve"> from freshmen all the way to seniors </w:t>
      </w:r>
      <w:r w:rsidR="00AC41DE">
        <w:rPr>
          <w:szCs w:val="23"/>
        </w:rPr>
        <w:t xml:space="preserve">are allowed to </w:t>
      </w:r>
      <w:r w:rsidR="00AC41DE" w:rsidRPr="009F1E50">
        <w:rPr>
          <w:szCs w:val="23"/>
        </w:rPr>
        <w:t>enroll</w:t>
      </w:r>
      <w:r w:rsidR="00AC41DE">
        <w:rPr>
          <w:szCs w:val="23"/>
        </w:rPr>
        <w:t>, and enrollments show that the majority are juniors and seniors</w:t>
      </w:r>
      <w:r w:rsidR="00AC41DE" w:rsidRPr="009F1E50">
        <w:rPr>
          <w:szCs w:val="23"/>
        </w:rPr>
        <w:t>.</w:t>
      </w:r>
      <w:r w:rsidR="00AC41DE">
        <w:rPr>
          <w:szCs w:val="23"/>
        </w:rPr>
        <w:t xml:space="preserve"> </w:t>
      </w:r>
      <w:r w:rsidR="00AC41DE">
        <w:rPr>
          <w:szCs w:val="23"/>
        </w:rPr>
        <w:t xml:space="preserve">Of the 149 students enrolled, 128 essays were collected and evaluated. The essays </w:t>
      </w:r>
      <w:r w:rsidR="00AC41DE">
        <w:rPr>
          <w:sz w:val="24"/>
          <w:szCs w:val="24"/>
        </w:rPr>
        <w:t>were scored</w:t>
      </w:r>
      <w:r w:rsidR="00AC41DE">
        <w:rPr>
          <w:sz w:val="24"/>
          <w:szCs w:val="24"/>
        </w:rPr>
        <w:t xml:space="preserve"> after semester’s end</w:t>
      </w:r>
      <w:r w:rsidR="00AC41DE">
        <w:rPr>
          <w:sz w:val="24"/>
          <w:szCs w:val="24"/>
        </w:rPr>
        <w:t xml:space="preserve"> using the four-point rubric noted above.</w:t>
      </w:r>
      <w:r w:rsidR="00AC41DE">
        <w:rPr>
          <w:sz w:val="24"/>
          <w:szCs w:val="24"/>
        </w:rPr>
        <w:t xml:space="preserve"> </w:t>
      </w:r>
      <w:r w:rsidR="009F1E50">
        <w:rPr>
          <w:sz w:val="24"/>
          <w:szCs w:val="24"/>
        </w:rPr>
        <w:t>S</w:t>
      </w:r>
      <w:r w:rsidR="009F1E50">
        <w:rPr>
          <w:sz w:val="24"/>
          <w:szCs w:val="24"/>
        </w:rPr>
        <w:t xml:space="preserve">coring is blind, using non-instructors outside of course grades. </w:t>
      </w:r>
    </w:p>
    <w:p w:rsidR="00AC41DE" w:rsidRDefault="00AC41DE" w:rsidP="00AC41DE">
      <w:pPr>
        <w:pStyle w:val="ListParagraph"/>
        <w:spacing w:line="240" w:lineRule="auto"/>
        <w:ind w:left="0"/>
        <w:rPr>
          <w:szCs w:val="23"/>
        </w:rPr>
      </w:pPr>
    </w:p>
    <w:p w:rsidR="00AC41DE" w:rsidRPr="00AC41DE" w:rsidRDefault="00AC41DE" w:rsidP="002326C8">
      <w:pPr>
        <w:pStyle w:val="ListParagraph"/>
        <w:spacing w:line="240" w:lineRule="auto"/>
        <w:ind w:left="0"/>
        <w:rPr>
          <w:sz w:val="24"/>
          <w:szCs w:val="24"/>
        </w:rPr>
      </w:pPr>
      <w:r w:rsidRPr="00AC41DE">
        <w:rPr>
          <w:b/>
          <w:sz w:val="24"/>
          <w:szCs w:val="24"/>
        </w:rPr>
        <w:t>Summary</w:t>
      </w:r>
      <w:r w:rsidRPr="00AC41DE">
        <w:rPr>
          <w:sz w:val="24"/>
          <w:szCs w:val="24"/>
        </w:rPr>
        <w:t xml:space="preserve">. </w:t>
      </w:r>
      <w:r w:rsidRPr="00AC41DE">
        <w:rPr>
          <w:sz w:val="24"/>
          <w:szCs w:val="24"/>
        </w:rPr>
        <w:t xml:space="preserve">Results of this assessment are presented in the tables below.  </w:t>
      </w:r>
      <w:r w:rsidR="002326C8">
        <w:rPr>
          <w:sz w:val="24"/>
          <w:szCs w:val="24"/>
        </w:rPr>
        <w:t>The benchmark of 85</w:t>
      </w:r>
      <w:r w:rsidRPr="00AC41DE">
        <w:rPr>
          <w:sz w:val="24"/>
          <w:szCs w:val="24"/>
        </w:rPr>
        <w:t xml:space="preserve">% </w:t>
      </w:r>
      <w:r w:rsidR="002326C8">
        <w:rPr>
          <w:sz w:val="24"/>
          <w:szCs w:val="24"/>
        </w:rPr>
        <w:t xml:space="preserve">of students </w:t>
      </w:r>
      <w:r w:rsidRPr="00AC41DE">
        <w:rPr>
          <w:sz w:val="24"/>
          <w:szCs w:val="24"/>
        </w:rPr>
        <w:t>meeting</w:t>
      </w:r>
      <w:r w:rsidR="002326C8">
        <w:rPr>
          <w:sz w:val="24"/>
          <w:szCs w:val="24"/>
        </w:rPr>
        <w:t xml:space="preserve"> the written</w:t>
      </w:r>
      <w:r w:rsidRPr="00AC41DE">
        <w:rPr>
          <w:sz w:val="24"/>
          <w:szCs w:val="24"/>
        </w:rPr>
        <w:t xml:space="preserve"> communication standard of </w:t>
      </w:r>
      <w:r w:rsidR="002326C8">
        <w:rPr>
          <w:i/>
          <w:sz w:val="24"/>
          <w:szCs w:val="24"/>
        </w:rPr>
        <w:t>average</w:t>
      </w:r>
      <w:r w:rsidRPr="00AC41DE">
        <w:rPr>
          <w:sz w:val="24"/>
          <w:szCs w:val="24"/>
        </w:rPr>
        <w:t xml:space="preserve"> or </w:t>
      </w:r>
      <w:r w:rsidR="002326C8">
        <w:rPr>
          <w:i/>
          <w:sz w:val="24"/>
          <w:szCs w:val="24"/>
        </w:rPr>
        <w:t>high proficiency</w:t>
      </w:r>
      <w:r w:rsidRPr="00AC41DE">
        <w:rPr>
          <w:sz w:val="24"/>
          <w:szCs w:val="24"/>
        </w:rPr>
        <w:t xml:space="preserve"> is </w:t>
      </w:r>
      <w:r w:rsidR="002326C8">
        <w:rPr>
          <w:sz w:val="24"/>
          <w:szCs w:val="24"/>
        </w:rPr>
        <w:t>not met for three of the</w:t>
      </w:r>
      <w:r w:rsidRPr="00AC41DE">
        <w:rPr>
          <w:sz w:val="24"/>
          <w:szCs w:val="24"/>
        </w:rPr>
        <w:t xml:space="preserve"> individual learning outcomes</w:t>
      </w:r>
      <w:r w:rsidR="002326C8">
        <w:rPr>
          <w:sz w:val="24"/>
          <w:szCs w:val="24"/>
        </w:rPr>
        <w:t>, although it is met for the first learning outcome, Ideas.</w:t>
      </w:r>
      <w:bookmarkStart w:id="0" w:name="_GoBack"/>
      <w:bookmarkEnd w:id="0"/>
    </w:p>
    <w:p w:rsidR="002617CE" w:rsidRDefault="002617CE" w:rsidP="002617CE">
      <w:pPr>
        <w:jc w:val="both"/>
        <w:rPr>
          <w:b/>
          <w:sz w:val="23"/>
          <w:szCs w:val="23"/>
        </w:rPr>
      </w:pPr>
    </w:p>
    <w:p w:rsidR="00B37E4D" w:rsidRDefault="00B37E4D" w:rsidP="002617CE">
      <w:pPr>
        <w:jc w:val="both"/>
        <w:rPr>
          <w:sz w:val="23"/>
          <w:szCs w:val="23"/>
        </w:rPr>
      </w:pPr>
    </w:p>
    <w:p w:rsidR="009F1E50" w:rsidRDefault="009F1E50" w:rsidP="009F1E50">
      <w:pPr>
        <w:jc w:val="center"/>
        <w:rPr>
          <w:b/>
        </w:rPr>
      </w:pPr>
      <w:r w:rsidRPr="00FE5A82">
        <w:rPr>
          <w:b/>
        </w:rPr>
        <w:t xml:space="preserve">Results </w:t>
      </w:r>
      <w:r>
        <w:rPr>
          <w:b/>
        </w:rPr>
        <w:t xml:space="preserve">of </w:t>
      </w:r>
      <w:r w:rsidR="00AC41DE">
        <w:rPr>
          <w:b/>
        </w:rPr>
        <w:t>Written</w:t>
      </w:r>
      <w:r>
        <w:rPr>
          <w:b/>
        </w:rPr>
        <w:t xml:space="preserve"> Communication Assessment </w:t>
      </w:r>
      <w:r w:rsidRPr="00FE5A82">
        <w:rPr>
          <w:b/>
        </w:rPr>
        <w:t>by C</w:t>
      </w:r>
      <w:r>
        <w:rPr>
          <w:b/>
        </w:rPr>
        <w:t xml:space="preserve">ategory </w:t>
      </w:r>
    </w:p>
    <w:p w:rsidR="009F1E50" w:rsidRPr="00FE5A82" w:rsidRDefault="009F1E50" w:rsidP="009F1E50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from</w:t>
      </w:r>
      <w:proofErr w:type="gramEnd"/>
      <w:r>
        <w:rPr>
          <w:b/>
        </w:rPr>
        <w:t xml:space="preserve"> </w:t>
      </w:r>
      <w:r>
        <w:rPr>
          <w:b/>
        </w:rPr>
        <w:t>128 essays</w:t>
      </w:r>
      <w:r w:rsidRPr="00FE5A82">
        <w:rPr>
          <w:b/>
        </w:rPr>
        <w:t>)</w:t>
      </w:r>
    </w:p>
    <w:p w:rsidR="009F1E50" w:rsidRPr="00FE5A82" w:rsidRDefault="009F1E50" w:rsidP="009F1E50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4"/>
        <w:gridCol w:w="1549"/>
        <w:gridCol w:w="1587"/>
        <w:gridCol w:w="1551"/>
        <w:gridCol w:w="1550"/>
      </w:tblGrid>
      <w:tr w:rsidR="009F1E50" w:rsidRPr="00FE5A82" w:rsidTr="009F1E50">
        <w:trPr>
          <w:trHeight w:val="548"/>
        </w:trPr>
        <w:tc>
          <w:tcPr>
            <w:tcW w:w="1564" w:type="dxa"/>
            <w:vAlign w:val="center"/>
          </w:tcPr>
          <w:p w:rsidR="009F1E50" w:rsidRPr="00FE5A82" w:rsidRDefault="009F1E50" w:rsidP="00F66439">
            <w:pPr>
              <w:spacing w:before="240"/>
              <w:jc w:val="center"/>
            </w:pPr>
          </w:p>
        </w:tc>
        <w:tc>
          <w:tcPr>
            <w:tcW w:w="1549" w:type="dxa"/>
            <w:vAlign w:val="center"/>
          </w:tcPr>
          <w:p w:rsidR="009F1E50" w:rsidRPr="00FE5A82" w:rsidRDefault="009F1E50" w:rsidP="00F66439">
            <w:pPr>
              <w:spacing w:before="240"/>
              <w:jc w:val="center"/>
            </w:pPr>
            <w:r>
              <w:t>Ideas</w:t>
            </w:r>
          </w:p>
        </w:tc>
        <w:tc>
          <w:tcPr>
            <w:tcW w:w="1587" w:type="dxa"/>
            <w:vAlign w:val="center"/>
          </w:tcPr>
          <w:p w:rsidR="009F1E50" w:rsidRPr="00FE5A82" w:rsidRDefault="009F1E50" w:rsidP="00F66439">
            <w:pPr>
              <w:spacing w:before="240"/>
              <w:jc w:val="center"/>
            </w:pPr>
            <w:r w:rsidRPr="00FE5A82">
              <w:t>Organization</w:t>
            </w:r>
          </w:p>
        </w:tc>
        <w:tc>
          <w:tcPr>
            <w:tcW w:w="1551" w:type="dxa"/>
            <w:vAlign w:val="center"/>
          </w:tcPr>
          <w:p w:rsidR="009F1E50" w:rsidRPr="00FE5A82" w:rsidRDefault="009F1E50" w:rsidP="00F66439">
            <w:pPr>
              <w:spacing w:before="240"/>
              <w:jc w:val="center"/>
            </w:pPr>
            <w:r>
              <w:t>Voice</w:t>
            </w:r>
          </w:p>
        </w:tc>
        <w:tc>
          <w:tcPr>
            <w:tcW w:w="1550" w:type="dxa"/>
            <w:vAlign w:val="center"/>
          </w:tcPr>
          <w:p w:rsidR="009F1E50" w:rsidRPr="00FE5A82" w:rsidRDefault="009F1E50" w:rsidP="00F66439">
            <w:pPr>
              <w:spacing w:before="240"/>
              <w:jc w:val="center"/>
            </w:pPr>
            <w:r>
              <w:t>Editing</w:t>
            </w:r>
          </w:p>
        </w:tc>
      </w:tr>
      <w:tr w:rsidR="009F1E50" w:rsidRPr="00FE5A82" w:rsidTr="009F1E50">
        <w:trPr>
          <w:trHeight w:val="620"/>
        </w:trPr>
        <w:tc>
          <w:tcPr>
            <w:tcW w:w="1564" w:type="dxa"/>
            <w:vAlign w:val="center"/>
          </w:tcPr>
          <w:p w:rsidR="009F1E50" w:rsidRPr="00FE5A82" w:rsidRDefault="009F1E50" w:rsidP="00F66439">
            <w:pPr>
              <w:spacing w:before="240"/>
              <w:jc w:val="center"/>
            </w:pPr>
            <w:r w:rsidRPr="00FE5A82">
              <w:lastRenderedPageBreak/>
              <w:t>Not Proficient</w:t>
            </w:r>
          </w:p>
        </w:tc>
        <w:tc>
          <w:tcPr>
            <w:tcW w:w="1549" w:type="dxa"/>
            <w:vAlign w:val="center"/>
          </w:tcPr>
          <w:p w:rsidR="009F1E50" w:rsidRPr="00FE5A82" w:rsidRDefault="009F1E50" w:rsidP="00F66439">
            <w:pPr>
              <w:spacing w:before="240"/>
              <w:jc w:val="center"/>
            </w:pPr>
            <w:r>
              <w:t>14%</w:t>
            </w:r>
          </w:p>
        </w:tc>
        <w:tc>
          <w:tcPr>
            <w:tcW w:w="1587" w:type="dxa"/>
            <w:vAlign w:val="center"/>
          </w:tcPr>
          <w:p w:rsidR="009F1E50" w:rsidRPr="00FE5A82" w:rsidRDefault="00AC41DE" w:rsidP="00F66439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16%</w:t>
            </w:r>
          </w:p>
        </w:tc>
        <w:tc>
          <w:tcPr>
            <w:tcW w:w="1551" w:type="dxa"/>
            <w:vAlign w:val="center"/>
          </w:tcPr>
          <w:p w:rsidR="009F1E50" w:rsidRPr="00FE5A82" w:rsidRDefault="00AC41DE" w:rsidP="00F66439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29%</w:t>
            </w:r>
          </w:p>
        </w:tc>
        <w:tc>
          <w:tcPr>
            <w:tcW w:w="1550" w:type="dxa"/>
            <w:vAlign w:val="center"/>
          </w:tcPr>
          <w:p w:rsidR="009F1E50" w:rsidRPr="00FE5A82" w:rsidRDefault="00AC41DE" w:rsidP="00F66439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37%</w:t>
            </w:r>
          </w:p>
        </w:tc>
      </w:tr>
      <w:tr w:rsidR="009F1E50" w:rsidRPr="00FE5A82" w:rsidTr="009F1E50">
        <w:trPr>
          <w:trHeight w:val="629"/>
        </w:trPr>
        <w:tc>
          <w:tcPr>
            <w:tcW w:w="1564" w:type="dxa"/>
            <w:vAlign w:val="center"/>
          </w:tcPr>
          <w:p w:rsidR="009F1E50" w:rsidRPr="00FE5A82" w:rsidRDefault="009F1E50" w:rsidP="00F66439">
            <w:pPr>
              <w:spacing w:before="240"/>
              <w:jc w:val="center"/>
            </w:pPr>
            <w:r w:rsidRPr="00FE5A82">
              <w:t>Proficient</w:t>
            </w:r>
          </w:p>
        </w:tc>
        <w:tc>
          <w:tcPr>
            <w:tcW w:w="1549" w:type="dxa"/>
            <w:vAlign w:val="center"/>
          </w:tcPr>
          <w:p w:rsidR="009F1E50" w:rsidRPr="00FE5A82" w:rsidRDefault="009F1E50" w:rsidP="00F66439">
            <w:pPr>
              <w:spacing w:before="240"/>
              <w:jc w:val="center"/>
            </w:pPr>
            <w:r>
              <w:t>86%</w:t>
            </w:r>
          </w:p>
        </w:tc>
        <w:tc>
          <w:tcPr>
            <w:tcW w:w="1587" w:type="dxa"/>
            <w:vAlign w:val="center"/>
          </w:tcPr>
          <w:p w:rsidR="009F1E50" w:rsidRPr="00FE5A82" w:rsidRDefault="009F1E50" w:rsidP="00F66439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84%</w:t>
            </w:r>
          </w:p>
        </w:tc>
        <w:tc>
          <w:tcPr>
            <w:tcW w:w="1551" w:type="dxa"/>
            <w:vAlign w:val="center"/>
          </w:tcPr>
          <w:p w:rsidR="009F1E50" w:rsidRPr="00FE5A82" w:rsidRDefault="009F1E50" w:rsidP="00F66439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71%</w:t>
            </w:r>
          </w:p>
        </w:tc>
        <w:tc>
          <w:tcPr>
            <w:tcW w:w="1550" w:type="dxa"/>
            <w:vAlign w:val="center"/>
          </w:tcPr>
          <w:p w:rsidR="009F1E50" w:rsidRPr="00FE5A82" w:rsidRDefault="009F1E50" w:rsidP="00F66439">
            <w:pPr>
              <w:spacing w:before="240"/>
              <w:jc w:val="center"/>
              <w:rPr>
                <w:color w:val="000000"/>
              </w:rPr>
            </w:pPr>
            <w:r>
              <w:rPr>
                <w:color w:val="000000"/>
              </w:rPr>
              <w:t>63%</w:t>
            </w:r>
          </w:p>
        </w:tc>
      </w:tr>
    </w:tbl>
    <w:p w:rsidR="009F1E50" w:rsidRPr="00FE5A82" w:rsidRDefault="009F1E50" w:rsidP="009F1E50">
      <w:pPr>
        <w:jc w:val="both"/>
      </w:pPr>
    </w:p>
    <w:p w:rsidR="002617CE" w:rsidRPr="00DF33B9" w:rsidRDefault="002617CE" w:rsidP="002617CE">
      <w:pPr>
        <w:jc w:val="both"/>
        <w:rPr>
          <w:sz w:val="23"/>
          <w:szCs w:val="23"/>
        </w:rPr>
      </w:pPr>
    </w:p>
    <w:p w:rsidR="004B004F" w:rsidRDefault="004B004F" w:rsidP="002617CE">
      <w:pPr>
        <w:jc w:val="both"/>
        <w:rPr>
          <w:sz w:val="23"/>
          <w:szCs w:val="23"/>
        </w:rPr>
      </w:pPr>
    </w:p>
    <w:p w:rsidR="004B004F" w:rsidRDefault="004B004F" w:rsidP="004B004F">
      <w:r>
        <w:t>Report prepared by:</w:t>
      </w:r>
    </w:p>
    <w:p w:rsidR="004B004F" w:rsidRPr="00C86D48" w:rsidRDefault="00FE20F5" w:rsidP="004B004F">
      <w:r>
        <w:t>Gwen Hale</w:t>
      </w:r>
      <w:r w:rsidR="004B004F" w:rsidRPr="00C86D48">
        <w:t xml:space="preserve"> –Project Director</w:t>
      </w:r>
    </w:p>
    <w:p w:rsidR="004B004F" w:rsidRPr="006472C9" w:rsidRDefault="004B004F" w:rsidP="004B004F">
      <w:r w:rsidRPr="00C86D48">
        <w:t xml:space="preserve">Director of the </w:t>
      </w:r>
      <w:r w:rsidR="00FE20F5">
        <w:t>Writing Intensive Program</w:t>
      </w:r>
    </w:p>
    <w:sectPr w:rsidR="004B004F" w:rsidRPr="006472C9" w:rsidSect="002617CE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97"/>
    <w:rsid w:val="00025686"/>
    <w:rsid w:val="00036B80"/>
    <w:rsid w:val="000520C1"/>
    <w:rsid w:val="00054BBD"/>
    <w:rsid w:val="00063A1E"/>
    <w:rsid w:val="00065902"/>
    <w:rsid w:val="00096A1B"/>
    <w:rsid w:val="000F0B19"/>
    <w:rsid w:val="00107BF4"/>
    <w:rsid w:val="00126154"/>
    <w:rsid w:val="0012745D"/>
    <w:rsid w:val="00130D7D"/>
    <w:rsid w:val="001A45F0"/>
    <w:rsid w:val="001A5737"/>
    <w:rsid w:val="001C14F3"/>
    <w:rsid w:val="001F6ADD"/>
    <w:rsid w:val="002136CB"/>
    <w:rsid w:val="002326C8"/>
    <w:rsid w:val="00253F5F"/>
    <w:rsid w:val="00255D01"/>
    <w:rsid w:val="002617CE"/>
    <w:rsid w:val="0026446A"/>
    <w:rsid w:val="0027556F"/>
    <w:rsid w:val="00295A29"/>
    <w:rsid w:val="002A3DD5"/>
    <w:rsid w:val="002B1B28"/>
    <w:rsid w:val="002D21AA"/>
    <w:rsid w:val="002E0399"/>
    <w:rsid w:val="002F0497"/>
    <w:rsid w:val="003356B3"/>
    <w:rsid w:val="0035338B"/>
    <w:rsid w:val="003621FE"/>
    <w:rsid w:val="003A1B39"/>
    <w:rsid w:val="003A538C"/>
    <w:rsid w:val="003F2D95"/>
    <w:rsid w:val="004050FE"/>
    <w:rsid w:val="004141C4"/>
    <w:rsid w:val="00417897"/>
    <w:rsid w:val="0042794F"/>
    <w:rsid w:val="00451B3B"/>
    <w:rsid w:val="00467850"/>
    <w:rsid w:val="004B004F"/>
    <w:rsid w:val="004D02D9"/>
    <w:rsid w:val="004D177F"/>
    <w:rsid w:val="00543DFA"/>
    <w:rsid w:val="00550786"/>
    <w:rsid w:val="005C45B2"/>
    <w:rsid w:val="005E3E39"/>
    <w:rsid w:val="00611AFE"/>
    <w:rsid w:val="00612036"/>
    <w:rsid w:val="00623E4B"/>
    <w:rsid w:val="00646060"/>
    <w:rsid w:val="006472C9"/>
    <w:rsid w:val="00674D23"/>
    <w:rsid w:val="00692214"/>
    <w:rsid w:val="006A7A0F"/>
    <w:rsid w:val="006D6E9E"/>
    <w:rsid w:val="006D79CF"/>
    <w:rsid w:val="007046FF"/>
    <w:rsid w:val="00707FD1"/>
    <w:rsid w:val="00713154"/>
    <w:rsid w:val="00725929"/>
    <w:rsid w:val="00771BEB"/>
    <w:rsid w:val="0077797B"/>
    <w:rsid w:val="00783D53"/>
    <w:rsid w:val="007A65AC"/>
    <w:rsid w:val="007E0E48"/>
    <w:rsid w:val="0081306F"/>
    <w:rsid w:val="008650D1"/>
    <w:rsid w:val="008F5654"/>
    <w:rsid w:val="00990C63"/>
    <w:rsid w:val="009A4B3D"/>
    <w:rsid w:val="009B099D"/>
    <w:rsid w:val="009B4810"/>
    <w:rsid w:val="009C2471"/>
    <w:rsid w:val="009C5E29"/>
    <w:rsid w:val="009F1E50"/>
    <w:rsid w:val="00A130B3"/>
    <w:rsid w:val="00A47A42"/>
    <w:rsid w:val="00AC41DE"/>
    <w:rsid w:val="00B00C65"/>
    <w:rsid w:val="00B12A7F"/>
    <w:rsid w:val="00B24B82"/>
    <w:rsid w:val="00B37E4D"/>
    <w:rsid w:val="00B633E1"/>
    <w:rsid w:val="00B6462C"/>
    <w:rsid w:val="00B95CDF"/>
    <w:rsid w:val="00BA6B4B"/>
    <w:rsid w:val="00BD45A6"/>
    <w:rsid w:val="00BE2E0B"/>
    <w:rsid w:val="00C011AB"/>
    <w:rsid w:val="00C03677"/>
    <w:rsid w:val="00C819C6"/>
    <w:rsid w:val="00C91093"/>
    <w:rsid w:val="00CB697B"/>
    <w:rsid w:val="00CC433D"/>
    <w:rsid w:val="00CF2FA4"/>
    <w:rsid w:val="00CF38B9"/>
    <w:rsid w:val="00D24501"/>
    <w:rsid w:val="00D65F25"/>
    <w:rsid w:val="00D666AA"/>
    <w:rsid w:val="00DC31DB"/>
    <w:rsid w:val="00DC4A42"/>
    <w:rsid w:val="00DC72E2"/>
    <w:rsid w:val="00DD390D"/>
    <w:rsid w:val="00E25C5E"/>
    <w:rsid w:val="00E25F5B"/>
    <w:rsid w:val="00E530EF"/>
    <w:rsid w:val="00E572DC"/>
    <w:rsid w:val="00EB2774"/>
    <w:rsid w:val="00EC5ED0"/>
    <w:rsid w:val="00ED3018"/>
    <w:rsid w:val="00F073F3"/>
    <w:rsid w:val="00F24E86"/>
    <w:rsid w:val="00F32074"/>
    <w:rsid w:val="00F66041"/>
    <w:rsid w:val="00F80318"/>
    <w:rsid w:val="00F9168F"/>
    <w:rsid w:val="00FC2BE9"/>
    <w:rsid w:val="00FD261F"/>
    <w:rsid w:val="00FD7C5E"/>
    <w:rsid w:val="00FE20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6F73B7"/>
  <w14:defaultImageDpi w14:val="300"/>
  <w15:chartTrackingRefBased/>
  <w15:docId w15:val="{D5A16B12-089B-4CC2-95E5-10FC43DA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E50"/>
    <w:pPr>
      <w:spacing w:line="276" w:lineRule="auto"/>
      <w:ind w:left="720"/>
      <w:contextualSpacing/>
    </w:pPr>
    <w:rPr>
      <w:rFonts w:ascii="Cambria" w:eastAsia="Cambria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394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OF ORAL COMMUNICATION AT</vt:lpstr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OF ORAL COMMUNICATION AT</dc:title>
  <dc:subject/>
  <dc:creator>Anand Rao</dc:creator>
  <cp:keywords/>
  <dc:description/>
  <cp:lastModifiedBy>Debra Schleef (dschleef)</cp:lastModifiedBy>
  <cp:revision>5</cp:revision>
  <cp:lastPrinted>2006-06-08T19:42:00Z</cp:lastPrinted>
  <dcterms:created xsi:type="dcterms:W3CDTF">2019-06-24T17:32:00Z</dcterms:created>
  <dcterms:modified xsi:type="dcterms:W3CDTF">2019-06-28T17:08:00Z</dcterms:modified>
</cp:coreProperties>
</file>